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F98A1" w14:textId="5396BFE5" w:rsidR="0012388D" w:rsidRDefault="00772BDC" w:rsidP="00CA5734">
      <w:pPr>
        <w:rPr>
          <w:rFonts w:cs="Arial"/>
        </w:rPr>
      </w:pPr>
      <w:r>
        <w:rPr>
          <w:rFonts w:cs="Arial"/>
          <w:noProof/>
          <w:lang w:eastAsia="en-GB" w:bidi="ar-SA"/>
        </w:rPr>
        <w:drawing>
          <wp:inline distT="0" distB="0" distL="0" distR="0" wp14:anchorId="314F9980" wp14:editId="594C9DFD">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9FA42F9" w14:textId="77777777" w:rsidR="00557185" w:rsidRPr="00557185" w:rsidRDefault="00557185" w:rsidP="00557185">
      <w:pPr>
        <w:rPr>
          <w:sz w:val="20"/>
          <w:lang w:bidi="ar-SA"/>
        </w:rPr>
      </w:pPr>
    </w:p>
    <w:p w14:paraId="30E81B88" w14:textId="77777777" w:rsidR="00557185" w:rsidRPr="00557185" w:rsidRDefault="00557185" w:rsidP="00557185">
      <w:pPr>
        <w:rPr>
          <w:b/>
          <w:sz w:val="28"/>
          <w:szCs w:val="28"/>
        </w:rPr>
      </w:pPr>
      <w:r w:rsidRPr="00557185">
        <w:rPr>
          <w:b/>
          <w:sz w:val="28"/>
          <w:szCs w:val="28"/>
        </w:rPr>
        <w:t>7 July 2017</w:t>
      </w:r>
    </w:p>
    <w:p w14:paraId="5374F869" w14:textId="77777777" w:rsidR="00557185" w:rsidRPr="00557185" w:rsidRDefault="00557185" w:rsidP="00557185">
      <w:pPr>
        <w:rPr>
          <w:b/>
          <w:sz w:val="28"/>
          <w:szCs w:val="28"/>
        </w:rPr>
      </w:pPr>
      <w:r w:rsidRPr="00557185">
        <w:rPr>
          <w:b/>
          <w:sz w:val="28"/>
          <w:szCs w:val="28"/>
        </w:rPr>
        <w:t>[17–17]</w:t>
      </w:r>
    </w:p>
    <w:p w14:paraId="496AC356" w14:textId="77777777" w:rsidR="00557185" w:rsidRPr="00557185" w:rsidRDefault="00557185" w:rsidP="00557185">
      <w:pPr>
        <w:rPr>
          <w:b/>
          <w:sz w:val="20"/>
        </w:rPr>
      </w:pPr>
    </w:p>
    <w:p w14:paraId="314F98A6" w14:textId="1678FFCF" w:rsidR="0012388D" w:rsidRPr="002360E5" w:rsidRDefault="00B425AA" w:rsidP="00B425AA">
      <w:pPr>
        <w:pStyle w:val="FSTitle"/>
      </w:pPr>
      <w:r w:rsidRPr="002360E5">
        <w:t>A</w:t>
      </w:r>
      <w:r w:rsidR="00DD265C" w:rsidRPr="002360E5">
        <w:t>pproval</w:t>
      </w:r>
      <w:r w:rsidRPr="002360E5">
        <w:t xml:space="preserve"> </w:t>
      </w:r>
      <w:r w:rsidR="00B77C18" w:rsidRPr="002360E5">
        <w:t>r</w:t>
      </w:r>
      <w:r w:rsidR="00DD265C" w:rsidRPr="002360E5">
        <w:t>eport</w:t>
      </w:r>
      <w:r w:rsidRPr="002360E5">
        <w:t xml:space="preserve"> – </w:t>
      </w:r>
      <w:r w:rsidR="00CA5734" w:rsidRPr="002360E5">
        <w:t>P</w:t>
      </w:r>
      <w:r w:rsidR="00DD265C" w:rsidRPr="002360E5">
        <w:t>roposal</w:t>
      </w:r>
      <w:r w:rsidR="00EF0D09" w:rsidRPr="002360E5">
        <w:t xml:space="preserve"> </w:t>
      </w:r>
      <w:r w:rsidR="006220A4" w:rsidRPr="002360E5">
        <w:t>P104</w:t>
      </w:r>
      <w:r w:rsidR="006220A4">
        <w:t>5</w:t>
      </w:r>
    </w:p>
    <w:p w14:paraId="314F98A7" w14:textId="77777777" w:rsidR="003A7B84" w:rsidRPr="002360E5" w:rsidRDefault="003A7B84" w:rsidP="00A671E6"/>
    <w:p w14:paraId="314F98A8" w14:textId="3AFA6DBC" w:rsidR="0012388D" w:rsidRPr="002360E5" w:rsidRDefault="00EF0D09" w:rsidP="00B425AA">
      <w:pPr>
        <w:pStyle w:val="FSTitle"/>
      </w:pPr>
      <w:r w:rsidRPr="002360E5">
        <w:t xml:space="preserve">Code Revision </w:t>
      </w:r>
      <w:r w:rsidR="00A017EB">
        <w:t>(</w:t>
      </w:r>
      <w:r w:rsidR="006220A4" w:rsidRPr="002360E5">
        <w:t>201</w:t>
      </w:r>
      <w:r w:rsidR="006220A4">
        <w:t>7</w:t>
      </w:r>
      <w:r w:rsidR="00A017EB">
        <w:t>)</w:t>
      </w:r>
    </w:p>
    <w:p w14:paraId="314F98A9" w14:textId="77777777" w:rsidR="003A7B84" w:rsidRPr="002360E5" w:rsidRDefault="003A7B84" w:rsidP="00871116">
      <w:pPr>
        <w:pBdr>
          <w:bottom w:val="single" w:sz="12" w:space="1" w:color="auto"/>
        </w:pBdr>
        <w:tabs>
          <w:tab w:val="left" w:pos="1140"/>
        </w:tabs>
        <w:rPr>
          <w:rFonts w:cs="Arial"/>
          <w:bCs/>
        </w:rPr>
      </w:pPr>
    </w:p>
    <w:p w14:paraId="314F98AA" w14:textId="77777777" w:rsidR="003A7B84" w:rsidRPr="002360E5" w:rsidRDefault="003A7B84" w:rsidP="003A7B84"/>
    <w:p w14:paraId="314F98AB" w14:textId="3450A55B" w:rsidR="00EB6590" w:rsidRPr="002360E5" w:rsidRDefault="000F3CFE" w:rsidP="00CA5734">
      <w:r w:rsidRPr="002360E5">
        <w:t>Food Standards Australia New Zealand (FSANZ) has</w:t>
      </w:r>
      <w:r w:rsidR="00081B0A" w:rsidRPr="002360E5">
        <w:t xml:space="preserve"> assessed</w:t>
      </w:r>
      <w:r w:rsidR="00CA5734" w:rsidRPr="002360E5">
        <w:t xml:space="preserve"> a proposal</w:t>
      </w:r>
      <w:r w:rsidR="00081B0A" w:rsidRPr="002360E5">
        <w:t xml:space="preserve"> </w:t>
      </w:r>
      <w:r w:rsidR="00CA5734" w:rsidRPr="002360E5">
        <w:t>to</w:t>
      </w:r>
      <w:r w:rsidR="00081B0A" w:rsidRPr="002360E5">
        <w:t xml:space="preserve"> </w:t>
      </w:r>
      <w:r w:rsidR="005B0E68" w:rsidRPr="004350B8">
        <w:t>make minor amendments</w:t>
      </w:r>
      <w:r w:rsidR="005B0E68">
        <w:t>,</w:t>
      </w:r>
      <w:r w:rsidR="005B0E68" w:rsidRPr="004350B8">
        <w:t xml:space="preserve"> including the correction of typographical errors</w:t>
      </w:r>
      <w:r w:rsidR="006220A4">
        <w:t>,</w:t>
      </w:r>
      <w:r w:rsidR="005B0E68" w:rsidRPr="004350B8">
        <w:t xml:space="preserve"> formatting issues and updating of references</w:t>
      </w:r>
      <w:r w:rsidR="00081B0A" w:rsidRPr="002360E5">
        <w:t>.</w:t>
      </w:r>
    </w:p>
    <w:p w14:paraId="314F98AC" w14:textId="3948E8AF" w:rsidR="00CA5734" w:rsidRPr="002360E5" w:rsidRDefault="005B0E68" w:rsidP="005B0E68">
      <w:pPr>
        <w:tabs>
          <w:tab w:val="left" w:pos="3654"/>
        </w:tabs>
      </w:pPr>
      <w:r>
        <w:tab/>
      </w:r>
    </w:p>
    <w:p w14:paraId="314F98AD" w14:textId="1C88CEC4" w:rsidR="00081B0A" w:rsidRPr="002360E5" w:rsidRDefault="00081B0A" w:rsidP="00CA5734">
      <w:r w:rsidRPr="002360E5">
        <w:t xml:space="preserve">On </w:t>
      </w:r>
      <w:r w:rsidR="00BB3262">
        <w:t>18</w:t>
      </w:r>
      <w:r w:rsidR="006220A4">
        <w:t xml:space="preserve"> April</w:t>
      </w:r>
      <w:r w:rsidR="002360E5" w:rsidRPr="002360E5">
        <w:t xml:space="preserve"> 2017</w:t>
      </w:r>
      <w:r w:rsidR="003A7B84" w:rsidRPr="002360E5">
        <w:t>,</w:t>
      </w:r>
      <w:r w:rsidRPr="002360E5">
        <w:t xml:space="preserve"> FSANZ sought </w:t>
      </w:r>
      <w:r w:rsidR="003A7B84" w:rsidRPr="002360E5">
        <w:t xml:space="preserve">submissions </w:t>
      </w:r>
      <w:r w:rsidR="00A671E6" w:rsidRPr="002360E5">
        <w:t xml:space="preserve">on </w:t>
      </w:r>
      <w:r w:rsidR="00F526BD" w:rsidRPr="002360E5">
        <w:t xml:space="preserve">draft </w:t>
      </w:r>
      <w:r w:rsidR="00E30092" w:rsidRPr="002360E5">
        <w:t>variation</w:t>
      </w:r>
      <w:r w:rsidR="000B7762" w:rsidRPr="002360E5">
        <w:t>s</w:t>
      </w:r>
      <w:r w:rsidR="003A7B84" w:rsidRPr="002360E5">
        <w:t xml:space="preserve"> and published an </w:t>
      </w:r>
      <w:r w:rsidR="00EC21DF" w:rsidRPr="002360E5">
        <w:t>associated r</w:t>
      </w:r>
      <w:r w:rsidR="003A7B84" w:rsidRPr="002360E5">
        <w:t>eport</w:t>
      </w:r>
      <w:r w:rsidRPr="002360E5">
        <w:t>.</w:t>
      </w:r>
      <w:r w:rsidR="00F526BD" w:rsidRPr="002360E5">
        <w:t xml:space="preserve"> FSANZ received </w:t>
      </w:r>
      <w:r w:rsidR="00740D4A">
        <w:t>2</w:t>
      </w:r>
      <w:r w:rsidR="006220A4" w:rsidRPr="002360E5">
        <w:t xml:space="preserve"> </w:t>
      </w:r>
      <w:r w:rsidR="00F526BD" w:rsidRPr="002360E5">
        <w:t>submissions.</w:t>
      </w:r>
    </w:p>
    <w:p w14:paraId="314F98AE" w14:textId="77777777" w:rsidR="00CA5734" w:rsidRPr="002360E5" w:rsidRDefault="00CA5734" w:rsidP="00CA5734"/>
    <w:p w14:paraId="314F98AF" w14:textId="4AC7477A" w:rsidR="00081B0A" w:rsidRPr="00557185" w:rsidRDefault="00081B0A" w:rsidP="00CA5734">
      <w:r w:rsidRPr="00653D9D">
        <w:t xml:space="preserve">FSANZ approved the draft </w:t>
      </w:r>
      <w:r w:rsidR="00E30092" w:rsidRPr="00653D9D">
        <w:t>variation</w:t>
      </w:r>
      <w:r w:rsidR="003A7B84" w:rsidRPr="00653D9D">
        <w:t xml:space="preserve"> </w:t>
      </w:r>
      <w:r w:rsidR="0012388D" w:rsidRPr="00653D9D">
        <w:t>on</w:t>
      </w:r>
      <w:r w:rsidR="0012388D" w:rsidRPr="00D5047D">
        <w:rPr>
          <w:color w:val="FF0000"/>
        </w:rPr>
        <w:t xml:space="preserve"> </w:t>
      </w:r>
      <w:r w:rsidR="00557185" w:rsidRPr="00557185">
        <w:t>22 June 2017</w:t>
      </w:r>
      <w:r w:rsidRPr="00557185">
        <w:t xml:space="preserve">. </w:t>
      </w:r>
      <w:r w:rsidR="003A7B84" w:rsidRPr="00557185">
        <w:t xml:space="preserve">The </w:t>
      </w:r>
      <w:r w:rsidR="00011187" w:rsidRPr="00557185">
        <w:rPr>
          <w:rFonts w:cs="Helvetica"/>
          <w:lang w:val="en-AU"/>
        </w:rPr>
        <w:t xml:space="preserve">Australia and New Zealand Ministerial Forum on Food </w:t>
      </w:r>
      <w:r w:rsidR="00011187" w:rsidRPr="00557185">
        <w:rPr>
          <w:rFonts w:cs="Arial"/>
        </w:rPr>
        <w:t>Regulation</w:t>
      </w:r>
      <w:r w:rsidR="00011187" w:rsidRPr="00557185">
        <w:rPr>
          <w:rFonts w:cs="Helvetica"/>
          <w:lang w:val="en-AU"/>
        </w:rPr>
        <w:t xml:space="preserve"> </w:t>
      </w:r>
      <w:r w:rsidR="00861C13" w:rsidRPr="00557185">
        <w:rPr>
          <w:rFonts w:cs="Arial"/>
        </w:rPr>
        <w:t>(F</w:t>
      </w:r>
      <w:r w:rsidR="00014E34" w:rsidRPr="00557185">
        <w:rPr>
          <w:rFonts w:cs="Arial"/>
        </w:rPr>
        <w:t>orum</w:t>
      </w:r>
      <w:r w:rsidR="00861C13" w:rsidRPr="00557185">
        <w:rPr>
          <w:rFonts w:cs="Arial"/>
        </w:rPr>
        <w:t>)</w:t>
      </w:r>
      <w:r w:rsidR="003A7B84" w:rsidRPr="00557185">
        <w:t xml:space="preserve"> was notified of FSANZ’s decision on </w:t>
      </w:r>
      <w:r w:rsidR="00557185" w:rsidRPr="00557185">
        <w:t>6 July 2017</w:t>
      </w:r>
      <w:r w:rsidR="003A7B84" w:rsidRPr="00557185">
        <w:t>.</w:t>
      </w:r>
    </w:p>
    <w:p w14:paraId="314F98B0" w14:textId="77777777" w:rsidR="00CA5734" w:rsidRPr="00653D9D" w:rsidRDefault="00CA5734" w:rsidP="00CA5734"/>
    <w:p w14:paraId="314F98B1" w14:textId="5AE732FC" w:rsidR="00081B0A" w:rsidRPr="00653D9D" w:rsidRDefault="003A7B84" w:rsidP="00292B9B">
      <w:r w:rsidRPr="00653D9D">
        <w:t>This R</w:t>
      </w:r>
      <w:r w:rsidR="00B425AA" w:rsidRPr="00653D9D">
        <w:t xml:space="preserve">eport is provided pursuant to </w:t>
      </w:r>
      <w:r w:rsidR="009A2699" w:rsidRPr="00653D9D">
        <w:t>paragraph</w:t>
      </w:r>
      <w:r w:rsidR="00081B0A" w:rsidRPr="00653D9D">
        <w:t xml:space="preserve"> </w:t>
      </w:r>
      <w:r w:rsidR="002360E5" w:rsidRPr="00653D9D">
        <w:t>6</w:t>
      </w:r>
      <w:r w:rsidR="00F33470" w:rsidRPr="00653D9D">
        <w:t>3(1)(b)</w:t>
      </w:r>
      <w:r w:rsidR="00081B0A" w:rsidRPr="00653D9D">
        <w:t xml:space="preserve"> of the </w:t>
      </w:r>
      <w:r w:rsidR="00081B0A" w:rsidRPr="00653D9D">
        <w:rPr>
          <w:i/>
        </w:rPr>
        <w:t>Food Standards Australia New Zealand Act 1991</w:t>
      </w:r>
      <w:r w:rsidR="00081B0A" w:rsidRPr="00653D9D">
        <w:t xml:space="preserve"> (the FSANZ Act).</w:t>
      </w:r>
    </w:p>
    <w:p w14:paraId="314F98B2" w14:textId="77777777" w:rsidR="00F526BD" w:rsidRPr="00653D9D" w:rsidRDefault="00F526BD" w:rsidP="00A671E6"/>
    <w:p w14:paraId="314F98B3" w14:textId="77777777" w:rsidR="00EB6590" w:rsidRPr="00653D9D" w:rsidRDefault="00EB6590" w:rsidP="00F526BD"/>
    <w:p w14:paraId="314F98B4" w14:textId="77777777" w:rsidR="00A671E6" w:rsidRPr="00653D9D" w:rsidRDefault="00A671E6" w:rsidP="00CC5468">
      <w:pPr>
        <w:sectPr w:rsidR="00A671E6" w:rsidRPr="00653D9D" w:rsidSect="00EB576F">
          <w:footerReference w:type="even" r:id="rId14"/>
          <w:footerReference w:type="default" r:id="rId15"/>
          <w:headerReference w:type="first" r:id="rId16"/>
          <w:pgSz w:w="11906" w:h="16838" w:code="9"/>
          <w:pgMar w:top="1418" w:right="1418" w:bottom="1418" w:left="1418" w:header="709" w:footer="709" w:gutter="0"/>
          <w:pgNumType w:fmt="lowerRoman" w:start="1"/>
          <w:cols w:space="708"/>
          <w:docGrid w:linePitch="360"/>
        </w:sectPr>
      </w:pPr>
    </w:p>
    <w:p w14:paraId="314F98B5" w14:textId="77777777" w:rsidR="0012388D" w:rsidRPr="00653D9D" w:rsidRDefault="00D15A08" w:rsidP="00EC66BB">
      <w:pPr>
        <w:jc w:val="center"/>
        <w:rPr>
          <w:sz w:val="28"/>
          <w:szCs w:val="28"/>
        </w:rPr>
      </w:pPr>
      <w:r w:rsidRPr="00653D9D">
        <w:rPr>
          <w:sz w:val="28"/>
          <w:szCs w:val="28"/>
        </w:rPr>
        <w:lastRenderedPageBreak/>
        <w:t xml:space="preserve">Table of </w:t>
      </w:r>
      <w:r w:rsidR="00B63BBA" w:rsidRPr="00653D9D">
        <w:rPr>
          <w:sz w:val="28"/>
          <w:szCs w:val="28"/>
        </w:rPr>
        <w:t>c</w:t>
      </w:r>
      <w:r w:rsidRPr="00653D9D">
        <w:rPr>
          <w:sz w:val="28"/>
          <w:szCs w:val="28"/>
        </w:rPr>
        <w:t>ontents</w:t>
      </w:r>
    </w:p>
    <w:p w14:paraId="314F98B6" w14:textId="77777777" w:rsidR="00CE59AA" w:rsidRPr="00653D9D" w:rsidRDefault="00CE59AA" w:rsidP="00CE59AA">
      <w:pPr>
        <w:rPr>
          <w:rFonts w:cs="Arial"/>
          <w:sz w:val="20"/>
          <w:szCs w:val="20"/>
        </w:rPr>
      </w:pPr>
    </w:p>
    <w:p w14:paraId="0EAA5DCF" w14:textId="2E77EB11" w:rsidR="00312CB2" w:rsidRPr="00557185" w:rsidRDefault="00B55714">
      <w:pPr>
        <w:pStyle w:val="TOC1"/>
        <w:tabs>
          <w:tab w:val="right" w:leader="dot" w:pos="9060"/>
        </w:tabs>
        <w:rPr>
          <w:rFonts w:ascii="Arial" w:eastAsiaTheme="minorEastAsia" w:hAnsi="Arial" w:cs="Arial"/>
          <w:b w:val="0"/>
          <w:caps w:val="0"/>
          <w:sz w:val="22"/>
          <w:lang w:eastAsia="en-GB"/>
        </w:rPr>
      </w:pPr>
      <w:r w:rsidRPr="00557185">
        <w:rPr>
          <w:rFonts w:ascii="Arial" w:hAnsi="Arial" w:cs="Arial"/>
          <w:b w:val="0"/>
          <w:bCs w:val="0"/>
          <w:caps w:val="0"/>
          <w:smallCaps/>
        </w:rPr>
        <w:fldChar w:fldCharType="begin"/>
      </w:r>
      <w:r w:rsidRPr="00557185">
        <w:rPr>
          <w:rFonts w:ascii="Arial" w:hAnsi="Arial" w:cs="Arial"/>
        </w:rPr>
        <w:instrText xml:space="preserve"> TOC \h \z \t "Heading 1,1,Heading 2,2,Heading 3,3" </w:instrText>
      </w:r>
      <w:r w:rsidRPr="00557185">
        <w:rPr>
          <w:rFonts w:ascii="Arial" w:hAnsi="Arial" w:cs="Arial"/>
          <w:b w:val="0"/>
          <w:caps w:val="0"/>
          <w:smallCaps/>
        </w:rPr>
        <w:fldChar w:fldCharType="separate"/>
      </w:r>
      <w:hyperlink w:anchor="_Toc471478933" w:history="1">
        <w:r w:rsidR="00312CB2" w:rsidRPr="00557185">
          <w:rPr>
            <w:rStyle w:val="Hyperlink"/>
            <w:rFonts w:ascii="Arial" w:hAnsi="Arial" w:cs="Arial"/>
            <w:color w:val="auto"/>
          </w:rPr>
          <w:t>Executive summary</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_Toc471478933 \h </w:instrText>
        </w:r>
        <w:r w:rsidR="00312CB2" w:rsidRPr="00557185">
          <w:rPr>
            <w:rFonts w:ascii="Arial" w:hAnsi="Arial" w:cs="Arial"/>
            <w:webHidden/>
          </w:rPr>
        </w:r>
        <w:r w:rsidR="00312CB2" w:rsidRPr="00557185">
          <w:rPr>
            <w:rFonts w:ascii="Arial" w:hAnsi="Arial" w:cs="Arial"/>
            <w:webHidden/>
          </w:rPr>
          <w:fldChar w:fldCharType="separate"/>
        </w:r>
        <w:r w:rsidR="00FB1605">
          <w:rPr>
            <w:rFonts w:ascii="Arial" w:hAnsi="Arial" w:cs="Arial"/>
            <w:noProof/>
            <w:webHidden/>
          </w:rPr>
          <w:t>2</w:t>
        </w:r>
        <w:r w:rsidR="00312CB2" w:rsidRPr="00557185">
          <w:rPr>
            <w:rFonts w:ascii="Arial" w:hAnsi="Arial" w:cs="Arial"/>
            <w:webHidden/>
          </w:rPr>
          <w:fldChar w:fldCharType="end"/>
        </w:r>
      </w:hyperlink>
    </w:p>
    <w:p w14:paraId="38DD825A" w14:textId="08B16C97" w:rsidR="00312CB2" w:rsidRPr="00557185" w:rsidRDefault="00FB1605">
      <w:pPr>
        <w:pStyle w:val="TOC1"/>
        <w:tabs>
          <w:tab w:val="left" w:pos="440"/>
          <w:tab w:val="right" w:leader="dot" w:pos="9060"/>
        </w:tabs>
        <w:rPr>
          <w:rFonts w:ascii="Arial" w:eastAsiaTheme="minorEastAsia" w:hAnsi="Arial" w:cs="Arial"/>
          <w:b w:val="0"/>
          <w:caps w:val="0"/>
          <w:sz w:val="22"/>
          <w:lang w:eastAsia="en-GB"/>
        </w:rPr>
      </w:pPr>
      <w:hyperlink w:anchor="_Toc471478934" w:history="1">
        <w:r w:rsidR="00312CB2" w:rsidRPr="00557185">
          <w:rPr>
            <w:rStyle w:val="Hyperlink"/>
            <w:rFonts w:ascii="Arial" w:hAnsi="Arial" w:cs="Arial"/>
            <w:color w:val="auto"/>
          </w:rPr>
          <w:t>1</w:t>
        </w:r>
        <w:r w:rsidR="00312CB2" w:rsidRPr="00557185">
          <w:rPr>
            <w:rFonts w:ascii="Arial" w:eastAsiaTheme="minorEastAsia" w:hAnsi="Arial" w:cs="Arial"/>
            <w:b w:val="0"/>
            <w:caps w:val="0"/>
            <w:sz w:val="22"/>
            <w:lang w:eastAsia="en-GB"/>
          </w:rPr>
          <w:tab/>
        </w:r>
        <w:r w:rsidR="00312CB2" w:rsidRPr="00557185">
          <w:rPr>
            <w:rStyle w:val="Hyperlink"/>
            <w:rFonts w:ascii="Arial" w:hAnsi="Arial" w:cs="Arial"/>
            <w:color w:val="auto"/>
          </w:rPr>
          <w:t>Introduction</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_Toc471478934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3</w:t>
        </w:r>
        <w:r w:rsidR="00312CB2" w:rsidRPr="00557185">
          <w:rPr>
            <w:rFonts w:ascii="Arial" w:hAnsi="Arial" w:cs="Arial"/>
            <w:webHidden/>
          </w:rPr>
          <w:fldChar w:fldCharType="end"/>
        </w:r>
      </w:hyperlink>
    </w:p>
    <w:p w14:paraId="24DE7A5C" w14:textId="181DADD0" w:rsidR="00312CB2" w:rsidRPr="00557185" w:rsidRDefault="00FB1605">
      <w:pPr>
        <w:pStyle w:val="TOC2"/>
        <w:tabs>
          <w:tab w:val="left" w:pos="880"/>
          <w:tab w:val="right" w:leader="dot" w:pos="9060"/>
        </w:tabs>
        <w:rPr>
          <w:rFonts w:ascii="Arial" w:eastAsiaTheme="minorEastAsia" w:hAnsi="Arial" w:cs="Arial"/>
          <w:smallCaps w:val="0"/>
          <w:sz w:val="22"/>
          <w:lang w:eastAsia="en-GB"/>
        </w:rPr>
      </w:pPr>
      <w:hyperlink w:anchor="_Toc471478935" w:history="1">
        <w:r w:rsidR="00312CB2" w:rsidRPr="00557185">
          <w:rPr>
            <w:rStyle w:val="Hyperlink"/>
            <w:rFonts w:ascii="Arial" w:hAnsi="Arial" w:cs="Arial"/>
            <w:color w:val="auto"/>
          </w:rPr>
          <w:t>1.1</w:t>
        </w:r>
        <w:r w:rsidR="00312CB2" w:rsidRPr="00557185">
          <w:rPr>
            <w:rFonts w:ascii="Arial" w:eastAsiaTheme="minorEastAsia" w:hAnsi="Arial" w:cs="Arial"/>
            <w:smallCaps w:val="0"/>
            <w:sz w:val="22"/>
            <w:lang w:eastAsia="en-GB"/>
          </w:rPr>
          <w:tab/>
        </w:r>
        <w:r w:rsidR="00312CB2" w:rsidRPr="00557185">
          <w:rPr>
            <w:rStyle w:val="Hyperlink"/>
            <w:rFonts w:ascii="Arial" w:hAnsi="Arial" w:cs="Arial"/>
            <w:color w:val="auto"/>
          </w:rPr>
          <w:t>The Proposal</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_Toc471478935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3</w:t>
        </w:r>
        <w:r w:rsidR="00312CB2" w:rsidRPr="00557185">
          <w:rPr>
            <w:rFonts w:ascii="Arial" w:hAnsi="Arial" w:cs="Arial"/>
            <w:webHidden/>
          </w:rPr>
          <w:fldChar w:fldCharType="end"/>
        </w:r>
      </w:hyperlink>
    </w:p>
    <w:p w14:paraId="0608CFBA" w14:textId="6BEF7D55" w:rsidR="00312CB2" w:rsidRPr="00557185" w:rsidRDefault="00FB1605">
      <w:pPr>
        <w:pStyle w:val="TOC2"/>
        <w:tabs>
          <w:tab w:val="left" w:pos="880"/>
          <w:tab w:val="right" w:leader="dot" w:pos="9060"/>
        </w:tabs>
        <w:rPr>
          <w:rFonts w:ascii="Arial" w:eastAsiaTheme="minorEastAsia" w:hAnsi="Arial" w:cs="Arial"/>
          <w:smallCaps w:val="0"/>
          <w:sz w:val="22"/>
          <w:lang w:eastAsia="en-GB"/>
        </w:rPr>
      </w:pPr>
      <w:hyperlink w:anchor="_Toc471478936" w:history="1">
        <w:r w:rsidR="00312CB2" w:rsidRPr="00557185">
          <w:rPr>
            <w:rStyle w:val="Hyperlink"/>
            <w:rFonts w:ascii="Arial" w:hAnsi="Arial" w:cs="Arial"/>
            <w:color w:val="auto"/>
          </w:rPr>
          <w:t>1.2</w:t>
        </w:r>
        <w:r w:rsidR="00312CB2" w:rsidRPr="00557185">
          <w:rPr>
            <w:rFonts w:ascii="Arial" w:eastAsiaTheme="minorEastAsia" w:hAnsi="Arial" w:cs="Arial"/>
            <w:smallCaps w:val="0"/>
            <w:sz w:val="22"/>
            <w:lang w:eastAsia="en-GB"/>
          </w:rPr>
          <w:tab/>
        </w:r>
        <w:r w:rsidR="00312CB2" w:rsidRPr="00557185">
          <w:rPr>
            <w:rStyle w:val="Hyperlink"/>
            <w:rFonts w:ascii="Arial" w:hAnsi="Arial" w:cs="Arial"/>
            <w:color w:val="auto"/>
          </w:rPr>
          <w:t>The current Standard</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_Toc471478936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3</w:t>
        </w:r>
        <w:r w:rsidR="00312CB2" w:rsidRPr="00557185">
          <w:rPr>
            <w:rFonts w:ascii="Arial" w:hAnsi="Arial" w:cs="Arial"/>
            <w:webHidden/>
          </w:rPr>
          <w:fldChar w:fldCharType="end"/>
        </w:r>
      </w:hyperlink>
    </w:p>
    <w:p w14:paraId="1B15BDCE" w14:textId="13B628D0" w:rsidR="00312CB2" w:rsidRPr="00557185" w:rsidRDefault="00FB1605">
      <w:pPr>
        <w:pStyle w:val="TOC2"/>
        <w:tabs>
          <w:tab w:val="left" w:pos="880"/>
          <w:tab w:val="right" w:leader="dot" w:pos="9060"/>
        </w:tabs>
        <w:rPr>
          <w:rFonts w:ascii="Arial" w:eastAsiaTheme="minorEastAsia" w:hAnsi="Arial" w:cs="Arial"/>
          <w:smallCaps w:val="0"/>
          <w:sz w:val="22"/>
          <w:lang w:eastAsia="en-GB"/>
        </w:rPr>
      </w:pPr>
      <w:hyperlink w:anchor="_Toc471478937" w:history="1">
        <w:r w:rsidR="00312CB2" w:rsidRPr="00557185">
          <w:rPr>
            <w:rStyle w:val="Hyperlink"/>
            <w:rFonts w:ascii="Arial" w:hAnsi="Arial" w:cs="Arial"/>
            <w:color w:val="auto"/>
            <w:u w:color="FFFF00"/>
          </w:rPr>
          <w:t>1.3</w:t>
        </w:r>
        <w:r w:rsidR="00312CB2" w:rsidRPr="00557185">
          <w:rPr>
            <w:rFonts w:ascii="Arial" w:eastAsiaTheme="minorEastAsia" w:hAnsi="Arial" w:cs="Arial"/>
            <w:smallCaps w:val="0"/>
            <w:sz w:val="22"/>
            <w:lang w:eastAsia="en-GB"/>
          </w:rPr>
          <w:tab/>
        </w:r>
        <w:r w:rsidR="00312CB2" w:rsidRPr="00557185">
          <w:rPr>
            <w:rStyle w:val="Hyperlink"/>
            <w:rFonts w:ascii="Arial" w:hAnsi="Arial" w:cs="Arial"/>
            <w:color w:val="auto"/>
            <w:u w:color="FFFF00"/>
          </w:rPr>
          <w:t xml:space="preserve">Reasons for </w:t>
        </w:r>
        <w:r w:rsidR="00312CB2" w:rsidRPr="00557185">
          <w:rPr>
            <w:rStyle w:val="Hyperlink"/>
            <w:rFonts w:ascii="Arial" w:hAnsi="Arial" w:cs="Arial"/>
            <w:color w:val="auto"/>
          </w:rPr>
          <w:t>preparing Proposal</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_Toc471478937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3</w:t>
        </w:r>
        <w:r w:rsidR="00312CB2" w:rsidRPr="00557185">
          <w:rPr>
            <w:rFonts w:ascii="Arial" w:hAnsi="Arial" w:cs="Arial"/>
            <w:webHidden/>
          </w:rPr>
          <w:fldChar w:fldCharType="end"/>
        </w:r>
      </w:hyperlink>
    </w:p>
    <w:p w14:paraId="2C1F5A42" w14:textId="4E1DF458" w:rsidR="00312CB2" w:rsidRPr="00557185" w:rsidRDefault="00FB1605">
      <w:pPr>
        <w:pStyle w:val="TOC2"/>
        <w:tabs>
          <w:tab w:val="left" w:pos="880"/>
          <w:tab w:val="right" w:leader="dot" w:pos="9060"/>
        </w:tabs>
        <w:rPr>
          <w:rFonts w:ascii="Arial" w:eastAsiaTheme="minorEastAsia" w:hAnsi="Arial" w:cs="Arial"/>
          <w:smallCaps w:val="0"/>
          <w:sz w:val="22"/>
          <w:lang w:eastAsia="en-GB"/>
        </w:rPr>
      </w:pPr>
      <w:hyperlink w:anchor="_Toc471478938" w:history="1">
        <w:r w:rsidR="00312CB2" w:rsidRPr="00557185">
          <w:rPr>
            <w:rStyle w:val="Hyperlink"/>
            <w:rFonts w:ascii="Arial" w:hAnsi="Arial" w:cs="Arial"/>
            <w:color w:val="auto"/>
          </w:rPr>
          <w:t>1.4</w:t>
        </w:r>
        <w:r w:rsidR="00312CB2" w:rsidRPr="00557185">
          <w:rPr>
            <w:rFonts w:ascii="Arial" w:eastAsiaTheme="minorEastAsia" w:hAnsi="Arial" w:cs="Arial"/>
            <w:smallCaps w:val="0"/>
            <w:sz w:val="22"/>
            <w:lang w:eastAsia="en-GB"/>
          </w:rPr>
          <w:tab/>
        </w:r>
        <w:r w:rsidR="00312CB2" w:rsidRPr="00557185">
          <w:rPr>
            <w:rStyle w:val="Hyperlink"/>
            <w:rFonts w:ascii="Arial" w:hAnsi="Arial" w:cs="Arial"/>
            <w:color w:val="auto"/>
          </w:rPr>
          <w:t>Procedure for assessment</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_Toc471478938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3</w:t>
        </w:r>
        <w:r w:rsidR="00312CB2" w:rsidRPr="00557185">
          <w:rPr>
            <w:rFonts w:ascii="Arial" w:hAnsi="Arial" w:cs="Arial"/>
            <w:webHidden/>
          </w:rPr>
          <w:fldChar w:fldCharType="end"/>
        </w:r>
      </w:hyperlink>
    </w:p>
    <w:p w14:paraId="49D66853" w14:textId="4E71DD73" w:rsidR="00312CB2" w:rsidRPr="00557185" w:rsidRDefault="00FB1605">
      <w:pPr>
        <w:pStyle w:val="TOC2"/>
        <w:tabs>
          <w:tab w:val="left" w:pos="880"/>
          <w:tab w:val="right" w:leader="dot" w:pos="9060"/>
        </w:tabs>
        <w:rPr>
          <w:rFonts w:ascii="Arial" w:eastAsiaTheme="minorEastAsia" w:hAnsi="Arial" w:cs="Arial"/>
          <w:smallCaps w:val="0"/>
          <w:sz w:val="22"/>
          <w:lang w:eastAsia="en-GB"/>
        </w:rPr>
      </w:pPr>
      <w:hyperlink w:anchor="_Toc471478939" w:history="1">
        <w:r w:rsidR="00312CB2" w:rsidRPr="00557185">
          <w:rPr>
            <w:rStyle w:val="Hyperlink"/>
            <w:rFonts w:ascii="Arial" w:hAnsi="Arial" w:cs="Arial"/>
            <w:color w:val="auto"/>
          </w:rPr>
          <w:t>1.5</w:t>
        </w:r>
        <w:r w:rsidR="00312CB2" w:rsidRPr="00557185">
          <w:rPr>
            <w:rFonts w:ascii="Arial" w:eastAsiaTheme="minorEastAsia" w:hAnsi="Arial" w:cs="Arial"/>
            <w:smallCaps w:val="0"/>
            <w:sz w:val="22"/>
            <w:lang w:eastAsia="en-GB"/>
          </w:rPr>
          <w:tab/>
        </w:r>
        <w:r w:rsidR="00312CB2" w:rsidRPr="00557185">
          <w:rPr>
            <w:rStyle w:val="Hyperlink"/>
            <w:rFonts w:ascii="Arial" w:hAnsi="Arial" w:cs="Arial"/>
            <w:color w:val="auto"/>
          </w:rPr>
          <w:t>Decision</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_Toc471478939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3</w:t>
        </w:r>
        <w:r w:rsidR="00312CB2" w:rsidRPr="00557185">
          <w:rPr>
            <w:rFonts w:ascii="Arial" w:hAnsi="Arial" w:cs="Arial"/>
            <w:webHidden/>
          </w:rPr>
          <w:fldChar w:fldCharType="end"/>
        </w:r>
      </w:hyperlink>
    </w:p>
    <w:p w14:paraId="416D0388" w14:textId="784C5338" w:rsidR="00312CB2" w:rsidRPr="00557185" w:rsidRDefault="00FB1605">
      <w:pPr>
        <w:pStyle w:val="TOC1"/>
        <w:tabs>
          <w:tab w:val="left" w:pos="440"/>
          <w:tab w:val="right" w:leader="dot" w:pos="9060"/>
        </w:tabs>
        <w:rPr>
          <w:rFonts w:ascii="Arial" w:eastAsiaTheme="minorEastAsia" w:hAnsi="Arial" w:cs="Arial"/>
          <w:b w:val="0"/>
          <w:caps w:val="0"/>
          <w:sz w:val="22"/>
          <w:lang w:eastAsia="en-GB"/>
        </w:rPr>
      </w:pPr>
      <w:hyperlink w:anchor="_Toc471478940" w:history="1">
        <w:r w:rsidR="00312CB2" w:rsidRPr="00557185">
          <w:rPr>
            <w:rStyle w:val="Hyperlink"/>
            <w:rFonts w:ascii="Arial" w:hAnsi="Arial" w:cs="Arial"/>
            <w:color w:val="auto"/>
          </w:rPr>
          <w:t>2</w:t>
        </w:r>
        <w:r w:rsidR="00312CB2" w:rsidRPr="00557185">
          <w:rPr>
            <w:rFonts w:ascii="Arial" w:eastAsiaTheme="minorEastAsia" w:hAnsi="Arial" w:cs="Arial"/>
            <w:b w:val="0"/>
            <w:caps w:val="0"/>
            <w:sz w:val="22"/>
            <w:lang w:eastAsia="en-GB"/>
          </w:rPr>
          <w:tab/>
        </w:r>
        <w:r w:rsidR="00312CB2" w:rsidRPr="00557185">
          <w:rPr>
            <w:rStyle w:val="Hyperlink"/>
            <w:rFonts w:ascii="Arial" w:hAnsi="Arial" w:cs="Arial"/>
            <w:color w:val="auto"/>
          </w:rPr>
          <w:t xml:space="preserve">Summary </w:t>
        </w:r>
        <w:r w:rsidR="00312CB2" w:rsidRPr="00557185">
          <w:rPr>
            <w:rStyle w:val="Hyperlink"/>
            <w:rFonts w:ascii="Arial" w:hAnsi="Arial" w:cs="Arial"/>
            <w:color w:val="auto"/>
            <w:u w:color="FFFF00"/>
          </w:rPr>
          <w:t>of</w:t>
        </w:r>
        <w:r w:rsidR="00312CB2" w:rsidRPr="00557185">
          <w:rPr>
            <w:rStyle w:val="Hyperlink"/>
            <w:rFonts w:ascii="Arial" w:hAnsi="Arial" w:cs="Arial"/>
            <w:color w:val="auto"/>
          </w:rPr>
          <w:t xml:space="preserve"> the findings</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_Toc471478940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3</w:t>
        </w:r>
        <w:r w:rsidR="00312CB2" w:rsidRPr="00557185">
          <w:rPr>
            <w:rFonts w:ascii="Arial" w:hAnsi="Arial" w:cs="Arial"/>
            <w:webHidden/>
          </w:rPr>
          <w:fldChar w:fldCharType="end"/>
        </w:r>
      </w:hyperlink>
    </w:p>
    <w:p w14:paraId="0E2D47E9" w14:textId="59E4CC48" w:rsidR="00312CB2" w:rsidRPr="00557185" w:rsidRDefault="00FB1605">
      <w:pPr>
        <w:pStyle w:val="TOC2"/>
        <w:tabs>
          <w:tab w:val="left" w:pos="880"/>
          <w:tab w:val="right" w:leader="dot" w:pos="9060"/>
        </w:tabs>
        <w:rPr>
          <w:rFonts w:ascii="Arial" w:eastAsiaTheme="minorEastAsia" w:hAnsi="Arial" w:cs="Arial"/>
          <w:smallCaps w:val="0"/>
          <w:sz w:val="22"/>
          <w:lang w:eastAsia="en-GB"/>
        </w:rPr>
      </w:pPr>
      <w:hyperlink w:anchor="_Toc471478941" w:history="1">
        <w:r w:rsidR="00312CB2" w:rsidRPr="00557185">
          <w:rPr>
            <w:rStyle w:val="Hyperlink"/>
            <w:rFonts w:ascii="Arial" w:hAnsi="Arial" w:cs="Arial"/>
            <w:color w:val="auto"/>
          </w:rPr>
          <w:t>2.1</w:t>
        </w:r>
        <w:r w:rsidR="00312CB2" w:rsidRPr="00557185">
          <w:rPr>
            <w:rFonts w:ascii="Arial" w:eastAsiaTheme="minorEastAsia" w:hAnsi="Arial" w:cs="Arial"/>
            <w:smallCaps w:val="0"/>
            <w:sz w:val="22"/>
            <w:lang w:eastAsia="en-GB"/>
          </w:rPr>
          <w:tab/>
        </w:r>
        <w:r w:rsidR="00312CB2" w:rsidRPr="00557185">
          <w:rPr>
            <w:rStyle w:val="Hyperlink"/>
            <w:rFonts w:ascii="Arial" w:hAnsi="Arial" w:cs="Arial"/>
            <w:color w:val="auto"/>
          </w:rPr>
          <w:t>Summary of issues raised in submissions</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_Toc471478941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3</w:t>
        </w:r>
        <w:r w:rsidR="00312CB2" w:rsidRPr="00557185">
          <w:rPr>
            <w:rFonts w:ascii="Arial" w:hAnsi="Arial" w:cs="Arial"/>
            <w:webHidden/>
          </w:rPr>
          <w:fldChar w:fldCharType="end"/>
        </w:r>
      </w:hyperlink>
    </w:p>
    <w:p w14:paraId="7A2C5E67" w14:textId="28EAC36C" w:rsidR="00312CB2" w:rsidRPr="00557185" w:rsidRDefault="00FB1605">
      <w:pPr>
        <w:pStyle w:val="TOC2"/>
        <w:tabs>
          <w:tab w:val="left" w:pos="880"/>
          <w:tab w:val="right" w:leader="dot" w:pos="9060"/>
        </w:tabs>
        <w:rPr>
          <w:rFonts w:ascii="Arial" w:eastAsiaTheme="minorEastAsia" w:hAnsi="Arial" w:cs="Arial"/>
          <w:smallCaps w:val="0"/>
          <w:sz w:val="22"/>
          <w:lang w:eastAsia="en-GB"/>
        </w:rPr>
      </w:pPr>
      <w:hyperlink w:anchor="_Toc471478942" w:history="1">
        <w:r w:rsidR="00312CB2" w:rsidRPr="00557185">
          <w:rPr>
            <w:rStyle w:val="Hyperlink"/>
            <w:rFonts w:ascii="Arial" w:hAnsi="Arial" w:cs="Arial"/>
            <w:color w:val="auto"/>
          </w:rPr>
          <w:t>2.2</w:t>
        </w:r>
        <w:r w:rsidR="00312CB2" w:rsidRPr="00557185">
          <w:rPr>
            <w:rFonts w:ascii="Arial" w:eastAsiaTheme="minorEastAsia" w:hAnsi="Arial" w:cs="Arial"/>
            <w:smallCaps w:val="0"/>
            <w:sz w:val="22"/>
            <w:lang w:eastAsia="en-GB"/>
          </w:rPr>
          <w:tab/>
        </w:r>
        <w:r w:rsidR="00312CB2" w:rsidRPr="00557185">
          <w:rPr>
            <w:rStyle w:val="Hyperlink"/>
            <w:rFonts w:ascii="Arial" w:hAnsi="Arial" w:cs="Arial"/>
            <w:color w:val="auto"/>
          </w:rPr>
          <w:t>Risk assessment</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_Toc471478942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4</w:t>
        </w:r>
        <w:r w:rsidR="00312CB2" w:rsidRPr="00557185">
          <w:rPr>
            <w:rFonts w:ascii="Arial" w:hAnsi="Arial" w:cs="Arial"/>
            <w:webHidden/>
          </w:rPr>
          <w:fldChar w:fldCharType="end"/>
        </w:r>
      </w:hyperlink>
    </w:p>
    <w:p w14:paraId="132E8E6E" w14:textId="2FFD4FF3" w:rsidR="00312CB2" w:rsidRPr="00557185" w:rsidRDefault="00FB1605">
      <w:pPr>
        <w:pStyle w:val="TOC2"/>
        <w:tabs>
          <w:tab w:val="left" w:pos="880"/>
          <w:tab w:val="right" w:leader="dot" w:pos="9060"/>
        </w:tabs>
        <w:rPr>
          <w:rFonts w:ascii="Arial" w:eastAsiaTheme="minorEastAsia" w:hAnsi="Arial" w:cs="Arial"/>
          <w:smallCaps w:val="0"/>
          <w:sz w:val="22"/>
          <w:lang w:eastAsia="en-GB"/>
        </w:rPr>
      </w:pPr>
      <w:hyperlink w:anchor="_Toc471478943" w:history="1">
        <w:r w:rsidR="00312CB2" w:rsidRPr="00557185">
          <w:rPr>
            <w:rStyle w:val="Hyperlink"/>
            <w:rFonts w:ascii="Arial" w:hAnsi="Arial" w:cs="Arial"/>
            <w:color w:val="auto"/>
          </w:rPr>
          <w:t>2.3</w:t>
        </w:r>
        <w:r w:rsidR="00312CB2" w:rsidRPr="00557185">
          <w:rPr>
            <w:rFonts w:ascii="Arial" w:eastAsiaTheme="minorEastAsia" w:hAnsi="Arial" w:cs="Arial"/>
            <w:smallCaps w:val="0"/>
            <w:sz w:val="22"/>
            <w:lang w:eastAsia="en-GB"/>
          </w:rPr>
          <w:tab/>
        </w:r>
        <w:r w:rsidR="00312CB2" w:rsidRPr="00557185">
          <w:rPr>
            <w:rStyle w:val="Hyperlink"/>
            <w:rFonts w:ascii="Arial" w:hAnsi="Arial" w:cs="Arial"/>
            <w:color w:val="auto"/>
          </w:rPr>
          <w:t>Risk management</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_Toc471478943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4</w:t>
        </w:r>
        <w:r w:rsidR="00312CB2" w:rsidRPr="00557185">
          <w:rPr>
            <w:rFonts w:ascii="Arial" w:hAnsi="Arial" w:cs="Arial"/>
            <w:webHidden/>
          </w:rPr>
          <w:fldChar w:fldCharType="end"/>
        </w:r>
      </w:hyperlink>
    </w:p>
    <w:p w14:paraId="7C1AD2EC" w14:textId="6E75E95F" w:rsidR="00312CB2" w:rsidRPr="00557185" w:rsidRDefault="00FB1605">
      <w:pPr>
        <w:pStyle w:val="TOC3"/>
        <w:tabs>
          <w:tab w:val="left" w:pos="1100"/>
          <w:tab w:val="right" w:leader="dot" w:pos="9060"/>
        </w:tabs>
        <w:rPr>
          <w:rFonts w:ascii="Arial" w:eastAsiaTheme="minorEastAsia" w:hAnsi="Arial" w:cs="Arial"/>
          <w:i w:val="0"/>
          <w:sz w:val="22"/>
          <w:lang w:eastAsia="en-GB"/>
        </w:rPr>
      </w:pPr>
      <w:hyperlink w:anchor="_Toc471478944" w:history="1">
        <w:r w:rsidR="00312CB2" w:rsidRPr="00557185">
          <w:rPr>
            <w:rStyle w:val="Hyperlink"/>
            <w:rFonts w:ascii="Arial" w:hAnsi="Arial" w:cs="Arial"/>
            <w:color w:val="auto"/>
          </w:rPr>
          <w:t>2.4</w:t>
        </w:r>
        <w:r w:rsidR="00312CB2" w:rsidRPr="00557185">
          <w:rPr>
            <w:rFonts w:ascii="Arial" w:eastAsiaTheme="minorEastAsia" w:hAnsi="Arial" w:cs="Arial"/>
            <w:i w:val="0"/>
            <w:sz w:val="22"/>
            <w:lang w:eastAsia="en-GB"/>
          </w:rPr>
          <w:tab/>
        </w:r>
        <w:r w:rsidR="00312CB2" w:rsidRPr="00557185">
          <w:rPr>
            <w:rStyle w:val="Hyperlink"/>
            <w:rFonts w:ascii="Arial" w:hAnsi="Arial" w:cs="Arial"/>
            <w:color w:val="auto"/>
          </w:rPr>
          <w:t>Consultation</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_Toc471478944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4</w:t>
        </w:r>
        <w:r w:rsidR="00312CB2" w:rsidRPr="00557185">
          <w:rPr>
            <w:rFonts w:ascii="Arial" w:hAnsi="Arial" w:cs="Arial"/>
            <w:webHidden/>
          </w:rPr>
          <w:fldChar w:fldCharType="end"/>
        </w:r>
      </w:hyperlink>
    </w:p>
    <w:p w14:paraId="2C1A9415" w14:textId="18BCD2C9" w:rsidR="00312CB2" w:rsidRPr="00557185" w:rsidRDefault="00FB1605">
      <w:pPr>
        <w:pStyle w:val="TOC2"/>
        <w:tabs>
          <w:tab w:val="left" w:pos="880"/>
          <w:tab w:val="right" w:leader="dot" w:pos="9060"/>
        </w:tabs>
        <w:rPr>
          <w:rFonts w:ascii="Arial" w:eastAsiaTheme="minorEastAsia" w:hAnsi="Arial" w:cs="Arial"/>
          <w:smallCaps w:val="0"/>
          <w:sz w:val="22"/>
          <w:lang w:eastAsia="en-GB"/>
        </w:rPr>
      </w:pPr>
      <w:hyperlink w:anchor="_Toc471478945" w:history="1">
        <w:r w:rsidR="00312CB2" w:rsidRPr="00557185">
          <w:rPr>
            <w:rStyle w:val="Hyperlink"/>
            <w:rFonts w:ascii="Arial" w:hAnsi="Arial" w:cs="Arial"/>
            <w:color w:val="auto"/>
          </w:rPr>
          <w:t>2.5</w:t>
        </w:r>
        <w:r w:rsidR="00312CB2" w:rsidRPr="00557185">
          <w:rPr>
            <w:rFonts w:ascii="Arial" w:eastAsiaTheme="minorEastAsia" w:hAnsi="Arial" w:cs="Arial"/>
            <w:smallCaps w:val="0"/>
            <w:sz w:val="22"/>
            <w:lang w:eastAsia="en-GB"/>
          </w:rPr>
          <w:tab/>
        </w:r>
        <w:r w:rsidR="00312CB2" w:rsidRPr="00557185">
          <w:rPr>
            <w:rStyle w:val="Hyperlink"/>
            <w:rFonts w:ascii="Arial" w:hAnsi="Arial" w:cs="Arial"/>
            <w:color w:val="auto"/>
          </w:rPr>
          <w:t>FSANZ Act assessment requirements</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_Toc471478945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5</w:t>
        </w:r>
        <w:r w:rsidR="00312CB2" w:rsidRPr="00557185">
          <w:rPr>
            <w:rFonts w:ascii="Arial" w:hAnsi="Arial" w:cs="Arial"/>
            <w:webHidden/>
          </w:rPr>
          <w:fldChar w:fldCharType="end"/>
        </w:r>
      </w:hyperlink>
    </w:p>
    <w:p w14:paraId="12AFB622" w14:textId="58A608F8" w:rsidR="00312CB2" w:rsidRPr="00557185" w:rsidRDefault="00FB1605">
      <w:pPr>
        <w:pStyle w:val="TOC3"/>
        <w:tabs>
          <w:tab w:val="left" w:pos="1100"/>
          <w:tab w:val="right" w:leader="dot" w:pos="9060"/>
        </w:tabs>
        <w:rPr>
          <w:rFonts w:ascii="Arial" w:eastAsiaTheme="minorEastAsia" w:hAnsi="Arial" w:cs="Arial"/>
          <w:i w:val="0"/>
          <w:sz w:val="22"/>
          <w:lang w:eastAsia="en-GB"/>
        </w:rPr>
      </w:pPr>
      <w:hyperlink w:anchor="_Toc471478946" w:history="1">
        <w:r w:rsidR="00312CB2" w:rsidRPr="00557185">
          <w:rPr>
            <w:rStyle w:val="Hyperlink"/>
            <w:rFonts w:ascii="Arial" w:hAnsi="Arial" w:cs="Arial"/>
            <w:color w:val="auto"/>
          </w:rPr>
          <w:t>2.5.1</w:t>
        </w:r>
        <w:r w:rsidR="00312CB2" w:rsidRPr="00557185">
          <w:rPr>
            <w:rFonts w:ascii="Arial" w:eastAsiaTheme="minorEastAsia" w:hAnsi="Arial" w:cs="Arial"/>
            <w:i w:val="0"/>
            <w:sz w:val="22"/>
            <w:lang w:eastAsia="en-GB"/>
          </w:rPr>
          <w:tab/>
        </w:r>
        <w:r w:rsidR="00312CB2" w:rsidRPr="00557185">
          <w:rPr>
            <w:rStyle w:val="Hyperlink"/>
            <w:rFonts w:ascii="Arial" w:hAnsi="Arial" w:cs="Arial"/>
            <w:color w:val="auto"/>
          </w:rPr>
          <w:t>Section 59</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_Toc471478946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5</w:t>
        </w:r>
        <w:r w:rsidR="00312CB2" w:rsidRPr="00557185">
          <w:rPr>
            <w:rFonts w:ascii="Arial" w:hAnsi="Arial" w:cs="Arial"/>
            <w:webHidden/>
          </w:rPr>
          <w:fldChar w:fldCharType="end"/>
        </w:r>
      </w:hyperlink>
    </w:p>
    <w:p w14:paraId="79EAFB48" w14:textId="0F42DF4D" w:rsidR="00312CB2" w:rsidRPr="00557185" w:rsidRDefault="00FB1605">
      <w:pPr>
        <w:pStyle w:val="TOC3"/>
        <w:tabs>
          <w:tab w:val="left" w:pos="1320"/>
          <w:tab w:val="right" w:leader="dot" w:pos="9060"/>
        </w:tabs>
        <w:rPr>
          <w:rFonts w:ascii="Arial" w:eastAsiaTheme="minorEastAsia" w:hAnsi="Arial" w:cs="Arial"/>
          <w:i w:val="0"/>
          <w:sz w:val="22"/>
          <w:lang w:eastAsia="en-GB"/>
        </w:rPr>
      </w:pPr>
      <w:hyperlink w:anchor="_Toc471478947" w:history="1">
        <w:r w:rsidR="00312CB2" w:rsidRPr="00557185">
          <w:rPr>
            <w:rStyle w:val="Hyperlink"/>
            <w:rFonts w:ascii="Arial" w:hAnsi="Arial" w:cs="Arial"/>
            <w:color w:val="auto"/>
          </w:rPr>
          <w:t>2.5.2.</w:t>
        </w:r>
        <w:r w:rsidR="00312CB2" w:rsidRPr="00557185">
          <w:rPr>
            <w:rFonts w:ascii="Arial" w:eastAsiaTheme="minorEastAsia" w:hAnsi="Arial" w:cs="Arial"/>
            <w:i w:val="0"/>
            <w:sz w:val="22"/>
            <w:lang w:eastAsia="en-GB"/>
          </w:rPr>
          <w:tab/>
        </w:r>
        <w:r w:rsidR="00312CB2" w:rsidRPr="00557185">
          <w:rPr>
            <w:rStyle w:val="Hyperlink"/>
            <w:rFonts w:ascii="Arial" w:hAnsi="Arial" w:cs="Arial"/>
            <w:color w:val="auto"/>
          </w:rPr>
          <w:t>Subsection 18(1)</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_Toc471478947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5</w:t>
        </w:r>
        <w:r w:rsidR="00312CB2" w:rsidRPr="00557185">
          <w:rPr>
            <w:rFonts w:ascii="Arial" w:hAnsi="Arial" w:cs="Arial"/>
            <w:webHidden/>
          </w:rPr>
          <w:fldChar w:fldCharType="end"/>
        </w:r>
      </w:hyperlink>
    </w:p>
    <w:p w14:paraId="46B6FD8E" w14:textId="480FC296" w:rsidR="00312CB2" w:rsidRPr="00557185" w:rsidRDefault="00FB1605">
      <w:pPr>
        <w:pStyle w:val="TOC2"/>
        <w:tabs>
          <w:tab w:val="right" w:leader="dot" w:pos="9060"/>
        </w:tabs>
        <w:rPr>
          <w:rFonts w:ascii="Arial" w:eastAsiaTheme="minorEastAsia" w:hAnsi="Arial" w:cs="Arial"/>
          <w:smallCaps w:val="0"/>
          <w:sz w:val="22"/>
          <w:lang w:eastAsia="en-GB"/>
        </w:rPr>
      </w:pPr>
      <w:hyperlink w:anchor="_Toc471478948" w:history="1">
        <w:r w:rsidR="00312CB2" w:rsidRPr="00557185">
          <w:rPr>
            <w:rStyle w:val="Hyperlink"/>
            <w:rFonts w:ascii="Arial" w:hAnsi="Arial" w:cs="Arial"/>
            <w:color w:val="auto"/>
          </w:rPr>
          <w:t xml:space="preserve">Attachment A – Approved draft variation to the </w:t>
        </w:r>
        <w:r w:rsidR="00312CB2" w:rsidRPr="00557185">
          <w:rPr>
            <w:rStyle w:val="Hyperlink"/>
            <w:rFonts w:ascii="Arial" w:hAnsi="Arial" w:cs="Arial"/>
            <w:i/>
            <w:color w:val="auto"/>
          </w:rPr>
          <w:t>Australia New Zealand Food Standards Code</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_Toc471478948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7</w:t>
        </w:r>
        <w:r w:rsidR="00312CB2" w:rsidRPr="00557185">
          <w:rPr>
            <w:rFonts w:ascii="Arial" w:hAnsi="Arial" w:cs="Arial"/>
            <w:webHidden/>
          </w:rPr>
          <w:fldChar w:fldCharType="end"/>
        </w:r>
      </w:hyperlink>
    </w:p>
    <w:p w14:paraId="752A08EC" w14:textId="29CCA6E1" w:rsidR="00312CB2" w:rsidRPr="00557185" w:rsidRDefault="00FB1605">
      <w:pPr>
        <w:pStyle w:val="TOC2"/>
        <w:tabs>
          <w:tab w:val="right" w:leader="dot" w:pos="9060"/>
        </w:tabs>
        <w:rPr>
          <w:rFonts w:ascii="Arial" w:eastAsiaTheme="minorEastAsia" w:hAnsi="Arial" w:cs="Arial"/>
          <w:smallCaps w:val="0"/>
          <w:sz w:val="22"/>
          <w:lang w:eastAsia="en-GB"/>
        </w:rPr>
      </w:pPr>
      <w:hyperlink w:anchor="_Toc471478949" w:history="1">
        <w:r w:rsidR="00312CB2" w:rsidRPr="00557185">
          <w:rPr>
            <w:rStyle w:val="Hyperlink"/>
            <w:rFonts w:ascii="Arial" w:hAnsi="Arial" w:cs="Arial"/>
            <w:color w:val="auto"/>
          </w:rPr>
          <w:t>Attachment B – Explanatory Statement</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_Toc471478949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12</w:t>
        </w:r>
        <w:r w:rsidR="00312CB2" w:rsidRPr="00557185">
          <w:rPr>
            <w:rFonts w:ascii="Arial" w:hAnsi="Arial" w:cs="Arial"/>
            <w:webHidden/>
          </w:rPr>
          <w:fldChar w:fldCharType="end"/>
        </w:r>
      </w:hyperlink>
    </w:p>
    <w:p w14:paraId="68A54BDB" w14:textId="265D079D" w:rsidR="00312CB2" w:rsidRPr="00557185" w:rsidRDefault="00FB1605">
      <w:pPr>
        <w:pStyle w:val="TOC2"/>
        <w:tabs>
          <w:tab w:val="right" w:leader="dot" w:pos="9060"/>
        </w:tabs>
        <w:rPr>
          <w:rFonts w:ascii="Arial" w:eastAsiaTheme="minorEastAsia" w:hAnsi="Arial" w:cs="Arial"/>
          <w:smallCaps w:val="0"/>
          <w:sz w:val="22"/>
          <w:lang w:eastAsia="en-GB"/>
        </w:rPr>
      </w:pPr>
      <w:hyperlink w:anchor="_Toc471478950" w:history="1">
        <w:r w:rsidR="00312CB2" w:rsidRPr="00557185">
          <w:rPr>
            <w:rStyle w:val="Hyperlink"/>
            <w:rFonts w:ascii="Arial" w:hAnsi="Arial" w:cs="Arial"/>
            <w:color w:val="auto"/>
          </w:rPr>
          <w:t xml:space="preserve">Attachment C – Draft variations to the </w:t>
        </w:r>
        <w:r w:rsidR="00312CB2" w:rsidRPr="00557185">
          <w:rPr>
            <w:rStyle w:val="Hyperlink"/>
            <w:rFonts w:ascii="Arial" w:hAnsi="Arial" w:cs="Arial"/>
            <w:i/>
            <w:color w:val="auto"/>
          </w:rPr>
          <w:t xml:space="preserve">Australia New Zealand Food Standards Code </w:t>
        </w:r>
        <w:r w:rsidR="00312CB2" w:rsidRPr="00557185">
          <w:rPr>
            <w:rStyle w:val="Hyperlink"/>
            <w:rFonts w:ascii="Arial" w:hAnsi="Arial" w:cs="Arial"/>
            <w:color w:val="auto"/>
          </w:rPr>
          <w:t>(call for submissions)</w:t>
        </w:r>
        <w:r w:rsidR="00312CB2" w:rsidRPr="00557185">
          <w:rPr>
            <w:rFonts w:ascii="Arial" w:hAnsi="Arial" w:cs="Arial"/>
            <w:webHidden/>
          </w:rPr>
          <w:tab/>
        </w:r>
        <w:r w:rsidR="00312CB2" w:rsidRPr="00557185">
          <w:rPr>
            <w:rFonts w:ascii="Arial" w:hAnsi="Arial" w:cs="Arial"/>
            <w:webHidden/>
          </w:rPr>
          <w:fldChar w:fldCharType="begin"/>
        </w:r>
        <w:r w:rsidR="00312CB2" w:rsidRPr="00557185">
          <w:rPr>
            <w:rFonts w:ascii="Arial" w:hAnsi="Arial" w:cs="Arial"/>
            <w:webHidden/>
          </w:rPr>
          <w:instrText xml:space="preserve"> PAGEREF _Toc471478950 \h </w:instrText>
        </w:r>
        <w:r w:rsidR="00312CB2" w:rsidRPr="00557185">
          <w:rPr>
            <w:rFonts w:ascii="Arial" w:hAnsi="Arial" w:cs="Arial"/>
            <w:webHidden/>
          </w:rPr>
        </w:r>
        <w:r w:rsidR="00312CB2" w:rsidRPr="00557185">
          <w:rPr>
            <w:rFonts w:ascii="Arial" w:hAnsi="Arial" w:cs="Arial"/>
            <w:webHidden/>
          </w:rPr>
          <w:fldChar w:fldCharType="separate"/>
        </w:r>
        <w:r>
          <w:rPr>
            <w:rFonts w:ascii="Arial" w:hAnsi="Arial" w:cs="Arial"/>
            <w:noProof/>
            <w:webHidden/>
          </w:rPr>
          <w:t>14</w:t>
        </w:r>
        <w:r w:rsidR="00312CB2" w:rsidRPr="00557185">
          <w:rPr>
            <w:rFonts w:ascii="Arial" w:hAnsi="Arial" w:cs="Arial"/>
            <w:webHidden/>
          </w:rPr>
          <w:fldChar w:fldCharType="end"/>
        </w:r>
      </w:hyperlink>
    </w:p>
    <w:p w14:paraId="314F98D1" w14:textId="77777777" w:rsidR="0012388D" w:rsidRPr="00653D9D" w:rsidRDefault="00B55714" w:rsidP="00C91C02">
      <w:r w:rsidRPr="00557185">
        <w:rPr>
          <w:rFonts w:cs="Arial"/>
          <w:sz w:val="20"/>
          <w:szCs w:val="20"/>
        </w:rPr>
        <w:fldChar w:fldCharType="end"/>
      </w:r>
    </w:p>
    <w:p w14:paraId="314F98D2" w14:textId="77777777" w:rsidR="007F7BF7" w:rsidRPr="00653D9D" w:rsidRDefault="007F7BF7" w:rsidP="00CA5734"/>
    <w:p w14:paraId="314F98D8" w14:textId="77777777" w:rsidR="003C4969" w:rsidRPr="00653D9D" w:rsidRDefault="00D15A08" w:rsidP="009A2699">
      <w:pPr>
        <w:spacing w:line="280" w:lineRule="exact"/>
        <w:ind w:left="851" w:hanging="851"/>
        <w:outlineLvl w:val="3"/>
        <w:rPr>
          <w:vanish/>
        </w:rPr>
      </w:pPr>
      <w:r w:rsidRPr="00653D9D">
        <w:br w:type="page"/>
      </w:r>
    </w:p>
    <w:p w14:paraId="314F98D9" w14:textId="77777777" w:rsidR="002A6CA4" w:rsidRPr="00653D9D" w:rsidRDefault="007A53BF" w:rsidP="002A6CA4">
      <w:pPr>
        <w:pStyle w:val="Heading1"/>
      </w:pPr>
      <w:bookmarkStart w:id="0" w:name="_Toc286391001"/>
      <w:bookmarkStart w:id="1" w:name="_Toc300933414"/>
      <w:bookmarkStart w:id="2" w:name="_Toc370223463"/>
      <w:bookmarkStart w:id="3" w:name="_Toc471478796"/>
      <w:bookmarkStart w:id="4" w:name="_Toc471478933"/>
      <w:bookmarkStart w:id="5" w:name="_Toc11735627"/>
      <w:bookmarkStart w:id="6" w:name="_Toc29883110"/>
      <w:bookmarkStart w:id="7" w:name="_Toc41906797"/>
      <w:bookmarkStart w:id="8" w:name="_Toc41907544"/>
      <w:bookmarkStart w:id="9" w:name="_Toc120358575"/>
      <w:r w:rsidRPr="00653D9D">
        <w:t>Executive summary</w:t>
      </w:r>
      <w:bookmarkEnd w:id="0"/>
      <w:bookmarkEnd w:id="1"/>
      <w:bookmarkEnd w:id="2"/>
      <w:bookmarkEnd w:id="3"/>
      <w:bookmarkEnd w:id="4"/>
    </w:p>
    <w:p w14:paraId="314F98DA" w14:textId="1C21AF39" w:rsidR="00207244" w:rsidRPr="00653D9D" w:rsidRDefault="00207244" w:rsidP="00207244">
      <w:r w:rsidRPr="00653D9D">
        <w:rPr>
          <w:lang w:bidi="ar-SA"/>
        </w:rPr>
        <w:t xml:space="preserve">FSANZ has approved a number of amendments to the </w:t>
      </w:r>
      <w:r w:rsidRPr="00653D9D">
        <w:rPr>
          <w:i/>
          <w:lang w:bidi="ar-SA"/>
        </w:rPr>
        <w:t>Australia New Zealand Food Standards Code</w:t>
      </w:r>
      <w:r w:rsidRPr="00653D9D">
        <w:rPr>
          <w:lang w:bidi="ar-SA"/>
        </w:rPr>
        <w:t xml:space="preserve"> (the Code) including the correction of typographical errors, formatting issues, and updating of references.</w:t>
      </w:r>
    </w:p>
    <w:p w14:paraId="314F98DB" w14:textId="6F075ECD" w:rsidR="00207244" w:rsidRPr="00653D9D" w:rsidRDefault="006220A4" w:rsidP="00240FD8">
      <w:pPr>
        <w:tabs>
          <w:tab w:val="left" w:pos="5850"/>
        </w:tabs>
      </w:pPr>
      <w:r w:rsidRPr="00653D9D">
        <w:tab/>
      </w:r>
    </w:p>
    <w:p w14:paraId="314F98DC" w14:textId="21062E55" w:rsidR="00207244" w:rsidRPr="00653D9D" w:rsidRDefault="00207244" w:rsidP="00207244">
      <w:r w:rsidRPr="00653D9D">
        <w:t xml:space="preserve">The approved amendments are all minor. No potential public health and safety concerns have been identified. </w:t>
      </w:r>
    </w:p>
    <w:p w14:paraId="314F98DD" w14:textId="77777777" w:rsidR="00207244" w:rsidRPr="00653D9D" w:rsidRDefault="00207244" w:rsidP="00207244"/>
    <w:p w14:paraId="314F98DF" w14:textId="77777777" w:rsidR="00C836FF" w:rsidRPr="00653D9D" w:rsidRDefault="00C836FF" w:rsidP="002421C1">
      <w:pPr>
        <w:pStyle w:val="Heading1"/>
      </w:pPr>
      <w:r w:rsidRPr="00653D9D">
        <w:br w:type="page"/>
      </w:r>
    </w:p>
    <w:p w14:paraId="314F98E0" w14:textId="77777777" w:rsidR="007A53BF" w:rsidRPr="00653D9D" w:rsidRDefault="007A53BF" w:rsidP="00CE59AA">
      <w:pPr>
        <w:pStyle w:val="Heading1"/>
      </w:pPr>
      <w:bookmarkStart w:id="10" w:name="_Toc300933417"/>
      <w:bookmarkStart w:id="11" w:name="_Toc370223464"/>
      <w:bookmarkStart w:id="12" w:name="_Toc471478797"/>
      <w:bookmarkStart w:id="13" w:name="_Toc471478934"/>
      <w:r w:rsidRPr="00653D9D">
        <w:lastRenderedPageBreak/>
        <w:t>1</w:t>
      </w:r>
      <w:r w:rsidRPr="00653D9D">
        <w:tab/>
        <w:t>Introduction</w:t>
      </w:r>
      <w:bookmarkEnd w:id="10"/>
      <w:bookmarkEnd w:id="11"/>
      <w:bookmarkEnd w:id="12"/>
      <w:bookmarkEnd w:id="13"/>
    </w:p>
    <w:p w14:paraId="314F98E1" w14:textId="77777777" w:rsidR="007A53BF" w:rsidRPr="00653D9D" w:rsidRDefault="007A53BF" w:rsidP="00CE59AA">
      <w:pPr>
        <w:pStyle w:val="Heading2"/>
      </w:pPr>
      <w:bookmarkStart w:id="14" w:name="_Toc300761891"/>
      <w:bookmarkStart w:id="15" w:name="_Toc300933420"/>
      <w:bookmarkStart w:id="16" w:name="_Toc370223466"/>
      <w:bookmarkStart w:id="17" w:name="_Toc471478798"/>
      <w:bookmarkStart w:id="18" w:name="_Toc471478935"/>
      <w:r w:rsidRPr="00653D9D">
        <w:t>1.</w:t>
      </w:r>
      <w:r w:rsidR="00EF0D09" w:rsidRPr="00653D9D">
        <w:t>1</w:t>
      </w:r>
      <w:r w:rsidRPr="00653D9D">
        <w:tab/>
        <w:t xml:space="preserve">The </w:t>
      </w:r>
      <w:bookmarkEnd w:id="14"/>
      <w:r w:rsidRPr="00653D9D">
        <w:t>Proposal</w:t>
      </w:r>
      <w:bookmarkEnd w:id="15"/>
      <w:bookmarkEnd w:id="16"/>
      <w:bookmarkEnd w:id="17"/>
      <w:bookmarkEnd w:id="18"/>
    </w:p>
    <w:p w14:paraId="314F98E2" w14:textId="41B9696B" w:rsidR="007A53BF" w:rsidRPr="00653D9D" w:rsidRDefault="00207244" w:rsidP="007A53BF">
      <w:r w:rsidRPr="00653D9D">
        <w:rPr>
          <w:lang w:bidi="ar-SA"/>
        </w:rPr>
        <w:t xml:space="preserve">Proposal </w:t>
      </w:r>
      <w:r w:rsidR="006220A4" w:rsidRPr="00653D9D">
        <w:rPr>
          <w:lang w:bidi="ar-SA"/>
        </w:rPr>
        <w:t xml:space="preserve">P1045 </w:t>
      </w:r>
      <w:r w:rsidRPr="00653D9D">
        <w:rPr>
          <w:lang w:bidi="ar-SA"/>
        </w:rPr>
        <w:t>was prepared to make a range of minor amendments to the Code including the correction of typographical errors, formatting issues, and updating of references.</w:t>
      </w:r>
    </w:p>
    <w:p w14:paraId="314F98E3" w14:textId="7CC33163" w:rsidR="007A53BF" w:rsidRPr="00653D9D" w:rsidRDefault="007A53BF" w:rsidP="00CE59AA">
      <w:pPr>
        <w:pStyle w:val="Heading2"/>
      </w:pPr>
      <w:bookmarkStart w:id="19" w:name="_Toc300761892"/>
      <w:bookmarkStart w:id="20" w:name="_Toc300933421"/>
      <w:bookmarkStart w:id="21" w:name="_Toc370223467"/>
      <w:bookmarkStart w:id="22" w:name="_Toc471478799"/>
      <w:bookmarkStart w:id="23" w:name="_Toc471478936"/>
      <w:r w:rsidRPr="00653D9D">
        <w:t>1.</w:t>
      </w:r>
      <w:r w:rsidR="00236F9B" w:rsidRPr="00653D9D">
        <w:t>2</w:t>
      </w:r>
      <w:r w:rsidRPr="00653D9D">
        <w:tab/>
        <w:t>The current Standard</w:t>
      </w:r>
      <w:bookmarkEnd w:id="19"/>
      <w:bookmarkEnd w:id="20"/>
      <w:bookmarkEnd w:id="21"/>
      <w:bookmarkEnd w:id="22"/>
      <w:bookmarkEnd w:id="23"/>
    </w:p>
    <w:p w14:paraId="314F98E4" w14:textId="69514C86" w:rsidR="00207244" w:rsidRPr="00653D9D" w:rsidRDefault="00207244" w:rsidP="00207244">
      <w:bookmarkStart w:id="24" w:name="_Toc286391007"/>
      <w:bookmarkStart w:id="25" w:name="_Toc300933423"/>
      <w:bookmarkStart w:id="26" w:name="_Toc370223468"/>
      <w:bookmarkStart w:id="27" w:name="_Toc175381432"/>
      <w:r w:rsidRPr="00653D9D">
        <w:t xml:space="preserve">The proposal amends </w:t>
      </w:r>
      <w:r w:rsidR="00663713">
        <w:t>five</w:t>
      </w:r>
      <w:r w:rsidR="006220A4" w:rsidRPr="00653D9D">
        <w:t xml:space="preserve"> </w:t>
      </w:r>
      <w:r w:rsidRPr="00653D9D">
        <w:t xml:space="preserve">Standards and </w:t>
      </w:r>
      <w:r w:rsidR="00663713">
        <w:t>four</w:t>
      </w:r>
      <w:r w:rsidR="006220A4" w:rsidRPr="00653D9D">
        <w:t xml:space="preserve"> </w:t>
      </w:r>
      <w:r w:rsidRPr="00653D9D">
        <w:t>Schedules in the Code.</w:t>
      </w:r>
    </w:p>
    <w:p w14:paraId="314F98E5" w14:textId="5E8733D6" w:rsidR="007A53BF" w:rsidRPr="00653D9D" w:rsidRDefault="007A53BF" w:rsidP="00CE59AA">
      <w:pPr>
        <w:pStyle w:val="Heading2"/>
        <w:rPr>
          <w:u w:color="FFFF00"/>
        </w:rPr>
      </w:pPr>
      <w:bookmarkStart w:id="28" w:name="_Toc471478800"/>
      <w:bookmarkStart w:id="29" w:name="_Toc471478937"/>
      <w:r w:rsidRPr="00653D9D">
        <w:rPr>
          <w:u w:color="FFFF00"/>
        </w:rPr>
        <w:t>1.</w:t>
      </w:r>
      <w:r w:rsidR="00236F9B" w:rsidRPr="00653D9D">
        <w:rPr>
          <w:u w:color="FFFF00"/>
        </w:rPr>
        <w:t>3</w:t>
      </w:r>
      <w:r w:rsidRPr="00653D9D">
        <w:rPr>
          <w:u w:color="FFFF00"/>
        </w:rPr>
        <w:tab/>
        <w:t xml:space="preserve">Reasons for </w:t>
      </w:r>
      <w:bookmarkEnd w:id="24"/>
      <w:bookmarkEnd w:id="25"/>
      <w:r w:rsidRPr="00653D9D">
        <w:t>preparing Proposal</w:t>
      </w:r>
      <w:bookmarkEnd w:id="26"/>
      <w:bookmarkEnd w:id="28"/>
      <w:bookmarkEnd w:id="29"/>
    </w:p>
    <w:bookmarkEnd w:id="27"/>
    <w:p w14:paraId="314F98E6" w14:textId="77777777" w:rsidR="007A53BF" w:rsidRPr="00653D9D" w:rsidRDefault="00207244" w:rsidP="007A53BF">
      <w:r w:rsidRPr="00653D9D">
        <w:t>Minor typographical and grammatical errors and cross-reference issues are identified in the Code from time to time. References in the Code also become superseded as the documents they refer to are updated. This Proposal was prepared to resolve such issues</w:t>
      </w:r>
      <w:r w:rsidR="007A53BF" w:rsidRPr="00653D9D">
        <w:t>.</w:t>
      </w:r>
    </w:p>
    <w:p w14:paraId="314F98E7" w14:textId="03DC7A4E" w:rsidR="007A53BF" w:rsidRPr="00653D9D" w:rsidRDefault="007A53BF" w:rsidP="00CE59AA">
      <w:pPr>
        <w:pStyle w:val="Heading2"/>
      </w:pPr>
      <w:bookmarkStart w:id="30" w:name="_Toc370223469"/>
      <w:bookmarkStart w:id="31" w:name="_Toc471478801"/>
      <w:bookmarkStart w:id="32" w:name="_Toc471478938"/>
      <w:r w:rsidRPr="00653D9D">
        <w:t>1.</w:t>
      </w:r>
      <w:r w:rsidR="00236F9B" w:rsidRPr="00653D9D">
        <w:t>4</w:t>
      </w:r>
      <w:r w:rsidRPr="00653D9D">
        <w:tab/>
        <w:t>Procedure for assessment</w:t>
      </w:r>
      <w:bookmarkEnd w:id="30"/>
      <w:bookmarkEnd w:id="31"/>
      <w:bookmarkEnd w:id="32"/>
    </w:p>
    <w:p w14:paraId="314F98E8" w14:textId="77777777" w:rsidR="00AF397D" w:rsidRPr="00653D9D" w:rsidRDefault="00AF397D" w:rsidP="00AF397D">
      <w:r w:rsidRPr="00653D9D">
        <w:t xml:space="preserve">The Proposal was assessed under the </w:t>
      </w:r>
      <w:r w:rsidR="00207244" w:rsidRPr="00653D9D">
        <w:t>General</w:t>
      </w:r>
      <w:r w:rsidRPr="00653D9D">
        <w:t xml:space="preserve"> Procedure.</w:t>
      </w:r>
    </w:p>
    <w:p w14:paraId="314F98E9" w14:textId="63832565" w:rsidR="00422EC9" w:rsidRPr="00653D9D" w:rsidRDefault="007A53BF" w:rsidP="00422EC9">
      <w:pPr>
        <w:pStyle w:val="Heading2"/>
      </w:pPr>
      <w:bookmarkStart w:id="33" w:name="_Toc471478802"/>
      <w:bookmarkStart w:id="34" w:name="_Toc471478939"/>
      <w:r w:rsidRPr="00653D9D">
        <w:t>1</w:t>
      </w:r>
      <w:r w:rsidR="00422EC9" w:rsidRPr="00653D9D">
        <w:t>.</w:t>
      </w:r>
      <w:r w:rsidR="00236F9B" w:rsidRPr="00653D9D">
        <w:t>5</w:t>
      </w:r>
      <w:r w:rsidR="00422EC9" w:rsidRPr="00653D9D">
        <w:tab/>
        <w:t>Decision</w:t>
      </w:r>
      <w:bookmarkEnd w:id="33"/>
      <w:bookmarkEnd w:id="34"/>
    </w:p>
    <w:p w14:paraId="2FEA59CD" w14:textId="5B5D3868" w:rsidR="008705B3" w:rsidRDefault="00557185" w:rsidP="009565CD">
      <w:r w:rsidRPr="00307457">
        <w:t>The approved draft variation</w:t>
      </w:r>
      <w:r>
        <w:t>, as amended after the consideration of submissions,</w:t>
      </w:r>
      <w:r w:rsidRPr="00307457">
        <w:t xml:space="preserve"> is</w:t>
      </w:r>
      <w:r>
        <w:t xml:space="preserve"> at </w:t>
      </w:r>
      <w:r w:rsidRPr="007C22CB">
        <w:t xml:space="preserve">Attachment A. </w:t>
      </w:r>
      <w:r w:rsidRPr="00307457">
        <w:t xml:space="preserve">The </w:t>
      </w:r>
      <w:r>
        <w:t>approved v</w:t>
      </w:r>
      <w:r w:rsidRPr="00307457">
        <w:t xml:space="preserve">ariation takes effect on </w:t>
      </w:r>
      <w:r>
        <w:t>the date of g</w:t>
      </w:r>
      <w:r w:rsidRPr="00307457">
        <w:t>azettal</w:t>
      </w:r>
      <w:r>
        <w:t>.</w:t>
      </w:r>
      <w:r>
        <w:t xml:space="preserve"> </w:t>
      </w:r>
      <w:r w:rsidR="008705B3">
        <w:t xml:space="preserve">The amendments made to the draft variation were: </w:t>
      </w:r>
    </w:p>
    <w:p w14:paraId="496D53C9" w14:textId="7DF8EBA7" w:rsidR="008705B3" w:rsidRPr="009A13AC" w:rsidRDefault="008705B3" w:rsidP="009565CD"/>
    <w:p w14:paraId="767F7115" w14:textId="5B327628" w:rsidR="008705B3" w:rsidRPr="008705B3" w:rsidRDefault="008705B3" w:rsidP="00557185">
      <w:pPr>
        <w:pStyle w:val="FSBullet1"/>
        <w:rPr>
          <w:rFonts w:eastAsia="Calibri"/>
        </w:rPr>
      </w:pPr>
      <w:r>
        <w:rPr>
          <w:rFonts w:eastAsia="Calibri"/>
        </w:rPr>
        <w:t>inclusion of</w:t>
      </w:r>
      <w:r w:rsidRPr="00CA7B05">
        <w:rPr>
          <w:rFonts w:eastAsia="Calibri"/>
        </w:rPr>
        <w:t xml:space="preserve"> </w:t>
      </w:r>
      <w:r>
        <w:rPr>
          <w:rFonts w:eastAsia="Calibri"/>
        </w:rPr>
        <w:t xml:space="preserve">an </w:t>
      </w:r>
      <w:r w:rsidRPr="00CA7B05">
        <w:rPr>
          <w:rFonts w:eastAsia="Calibri"/>
        </w:rPr>
        <w:t xml:space="preserve">additional amendment </w:t>
      </w:r>
      <w:r>
        <w:rPr>
          <w:rFonts w:eastAsia="Calibri"/>
        </w:rPr>
        <w:t>at item [4] of</w:t>
      </w:r>
      <w:r w:rsidRPr="00CA7B05">
        <w:rPr>
          <w:rFonts w:eastAsia="Calibri"/>
        </w:rPr>
        <w:t xml:space="preserve"> the draft variation</w:t>
      </w:r>
      <w:r>
        <w:rPr>
          <w:rFonts w:eastAsia="Calibri"/>
        </w:rPr>
        <w:t>; and</w:t>
      </w:r>
    </w:p>
    <w:p w14:paraId="609A69BD" w14:textId="3B7FCC94" w:rsidR="008705B3" w:rsidRPr="009A13AC" w:rsidRDefault="008705B3" w:rsidP="00557185">
      <w:pPr>
        <w:pStyle w:val="FSBullet1"/>
        <w:rPr>
          <w:rFonts w:eastAsia="Calibri"/>
        </w:rPr>
      </w:pPr>
      <w:r>
        <w:rPr>
          <w:rFonts w:eastAsia="Calibri"/>
        </w:rPr>
        <w:t>minor amendments to</w:t>
      </w:r>
      <w:r w:rsidRPr="00CA7B05">
        <w:rPr>
          <w:rFonts w:eastAsia="Calibri"/>
        </w:rPr>
        <w:t xml:space="preserve"> </w:t>
      </w:r>
      <w:r>
        <w:rPr>
          <w:rFonts w:eastAsia="Calibri"/>
        </w:rPr>
        <w:t>formatting and referencing in the</w:t>
      </w:r>
      <w:r w:rsidRPr="00CA7B05">
        <w:rPr>
          <w:rFonts w:eastAsia="Calibri"/>
        </w:rPr>
        <w:t xml:space="preserve"> draft variation. </w:t>
      </w:r>
    </w:p>
    <w:p w14:paraId="03ED5A5E" w14:textId="30D82ED8" w:rsidR="008705B3" w:rsidRDefault="008705B3" w:rsidP="009565CD"/>
    <w:p w14:paraId="314F98EF" w14:textId="34151D3E" w:rsidR="00207244" w:rsidRPr="00653D9D" w:rsidRDefault="00207244" w:rsidP="00401ADE">
      <w:r w:rsidRPr="00653D9D">
        <w:t>The explanatory statement is at Attachment B. An explanatory statement is required to accompany an instrument if it is lodged on the Federal Register of Legislati</w:t>
      </w:r>
      <w:r w:rsidR="00CA207A" w:rsidRPr="00653D9D">
        <w:t>on</w:t>
      </w:r>
      <w:r w:rsidRPr="00653D9D">
        <w:t>. The draft variations on which submissions were sought are at Attachment C.</w:t>
      </w:r>
    </w:p>
    <w:p w14:paraId="314F98F0" w14:textId="77777777" w:rsidR="0012388D" w:rsidRPr="00653D9D" w:rsidRDefault="007A53BF" w:rsidP="00755F02">
      <w:pPr>
        <w:pStyle w:val="Heading1"/>
      </w:pPr>
      <w:bookmarkStart w:id="35" w:name="_Toc471478803"/>
      <w:bookmarkStart w:id="36" w:name="_Toc471478940"/>
      <w:bookmarkStart w:id="37" w:name="_Toc11735630"/>
      <w:bookmarkStart w:id="38" w:name="_Toc29883114"/>
      <w:bookmarkStart w:id="39" w:name="_Toc41906801"/>
      <w:bookmarkStart w:id="40" w:name="_Toc41907548"/>
      <w:bookmarkStart w:id="41" w:name="_Toc120358578"/>
      <w:bookmarkStart w:id="42" w:name="_Toc175381435"/>
      <w:bookmarkEnd w:id="5"/>
      <w:bookmarkEnd w:id="6"/>
      <w:bookmarkEnd w:id="7"/>
      <w:bookmarkEnd w:id="8"/>
      <w:bookmarkEnd w:id="9"/>
      <w:r w:rsidRPr="00653D9D">
        <w:t>2</w:t>
      </w:r>
      <w:r w:rsidR="00AC428E" w:rsidRPr="00653D9D">
        <w:tab/>
      </w:r>
      <w:r w:rsidR="00AF387F" w:rsidRPr="00653D9D">
        <w:t xml:space="preserve">Summary </w:t>
      </w:r>
      <w:r w:rsidR="00AF387F" w:rsidRPr="00653D9D">
        <w:rPr>
          <w:u w:color="FFFF00"/>
        </w:rPr>
        <w:t>of</w:t>
      </w:r>
      <w:r w:rsidR="00AF387F" w:rsidRPr="00653D9D">
        <w:t xml:space="preserve"> the findings</w:t>
      </w:r>
      <w:bookmarkEnd w:id="35"/>
      <w:bookmarkEnd w:id="36"/>
    </w:p>
    <w:p w14:paraId="314F98F1" w14:textId="77777777" w:rsidR="007A53BF" w:rsidRPr="00653D9D" w:rsidRDefault="007A53BF" w:rsidP="007A53BF">
      <w:pPr>
        <w:pStyle w:val="Heading2"/>
      </w:pPr>
      <w:bookmarkStart w:id="43" w:name="_Toc300933438"/>
      <w:bookmarkStart w:id="44" w:name="_Toc370223471"/>
      <w:bookmarkStart w:id="45" w:name="_Toc370225386"/>
      <w:bookmarkStart w:id="46" w:name="_Toc471478804"/>
      <w:bookmarkStart w:id="47" w:name="_Toc471478941"/>
      <w:bookmarkStart w:id="48" w:name="_Toc286391009"/>
      <w:bookmarkStart w:id="49" w:name="_Toc300933425"/>
      <w:bookmarkStart w:id="50" w:name="_Toc309291838"/>
      <w:bookmarkStart w:id="51" w:name="_Toc309385455"/>
      <w:bookmarkStart w:id="52" w:name="_Toc120358583"/>
      <w:bookmarkStart w:id="53" w:name="_Toc175381440"/>
      <w:r w:rsidRPr="00653D9D">
        <w:t>2.1</w:t>
      </w:r>
      <w:r w:rsidRPr="00653D9D">
        <w:tab/>
        <w:t xml:space="preserve">Summary of issues raised </w:t>
      </w:r>
      <w:bookmarkEnd w:id="43"/>
      <w:r w:rsidRPr="00653D9D">
        <w:t>in submissions</w:t>
      </w:r>
      <w:bookmarkEnd w:id="44"/>
      <w:bookmarkEnd w:id="45"/>
      <w:bookmarkEnd w:id="46"/>
      <w:bookmarkEnd w:id="47"/>
    </w:p>
    <w:p w14:paraId="314F98F2" w14:textId="7336CE6B" w:rsidR="001C51DC" w:rsidRPr="00653D9D" w:rsidRDefault="001C51DC" w:rsidP="001C51DC">
      <w:r w:rsidRPr="00653D9D">
        <w:rPr>
          <w:lang w:bidi="ar-SA"/>
        </w:rPr>
        <w:t xml:space="preserve">There was general support, or no objection, to the issues </w:t>
      </w:r>
      <w:r w:rsidR="00CA207A" w:rsidRPr="00653D9D">
        <w:rPr>
          <w:lang w:bidi="ar-SA"/>
        </w:rPr>
        <w:t>in the proposed draft variation</w:t>
      </w:r>
      <w:r w:rsidRPr="00653D9D">
        <w:t>.</w:t>
      </w:r>
    </w:p>
    <w:p w14:paraId="439E9326" w14:textId="19E1619E" w:rsidR="002D2FC9" w:rsidRPr="00653D9D" w:rsidRDefault="002D2FC9" w:rsidP="001C51DC"/>
    <w:p w14:paraId="3B63D469" w14:textId="3AE26EF3" w:rsidR="00B17567" w:rsidRPr="00653D9D" w:rsidRDefault="00E26707" w:rsidP="001C51DC">
      <w:r w:rsidRPr="00653D9D">
        <w:t>Further information about</w:t>
      </w:r>
      <w:r w:rsidR="005B0E68" w:rsidRPr="00653D9D">
        <w:t xml:space="preserve"> amendments made to the draft that was circulated </w:t>
      </w:r>
      <w:r w:rsidR="00CA207A" w:rsidRPr="00653D9D">
        <w:t xml:space="preserve">for </w:t>
      </w:r>
      <w:r w:rsidR="005B0E68" w:rsidRPr="00653D9D">
        <w:t xml:space="preserve">the </w:t>
      </w:r>
      <w:r w:rsidR="00CA207A" w:rsidRPr="00653D9D">
        <w:t>c</w:t>
      </w:r>
      <w:r w:rsidR="005B0E68" w:rsidRPr="00653D9D">
        <w:t xml:space="preserve">all for </w:t>
      </w:r>
      <w:r w:rsidR="00CA207A" w:rsidRPr="00653D9D">
        <w:t>s</w:t>
      </w:r>
      <w:r w:rsidR="005B0E68" w:rsidRPr="00653D9D">
        <w:t xml:space="preserve">ubmissions </w:t>
      </w:r>
      <w:r w:rsidRPr="00653D9D">
        <w:t>is provided</w:t>
      </w:r>
      <w:r w:rsidR="005B0E68" w:rsidRPr="00653D9D">
        <w:t xml:space="preserve"> in the table below.</w:t>
      </w:r>
    </w:p>
    <w:p w14:paraId="4761502B" w14:textId="77777777" w:rsidR="0096344C" w:rsidRPr="00653D9D" w:rsidRDefault="0096344C" w:rsidP="001C51DC"/>
    <w:p w14:paraId="314F98F4" w14:textId="361853E2" w:rsidR="007A53BF" w:rsidRPr="00653D9D" w:rsidRDefault="007A53BF" w:rsidP="00895FA0">
      <w:pPr>
        <w:pStyle w:val="FSTableTitle"/>
        <w:keepNext/>
        <w:keepLines/>
      </w:pPr>
      <w:r w:rsidRPr="00653D9D">
        <w:t xml:space="preserve">Table 1: Summary of issues </w:t>
      </w:r>
      <w:r w:rsidR="00E26707" w:rsidRPr="00653D9D">
        <w:t>raised by submitters</w:t>
      </w:r>
    </w:p>
    <w:p w14:paraId="314F98F5" w14:textId="77777777" w:rsidR="007A53BF" w:rsidRPr="00653D9D" w:rsidRDefault="007A53BF" w:rsidP="00895FA0">
      <w:pPr>
        <w:keepNext/>
        <w:keepLines/>
      </w:pPr>
    </w:p>
    <w:tbl>
      <w:tblPr>
        <w:tblStyle w:val="MediumShading1-Accent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1803"/>
        <w:gridCol w:w="3011"/>
      </w:tblGrid>
      <w:tr w:rsidR="007A53BF" w:rsidRPr="00653D9D" w14:paraId="314F98F9" w14:textId="77777777" w:rsidTr="00D504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none" w:sz="0" w:space="0" w:color="auto"/>
              <w:right w:val="none" w:sz="0" w:space="0" w:color="auto"/>
            </w:tcBorders>
            <w:shd w:val="clear" w:color="auto" w:fill="76923C" w:themeFill="accent3" w:themeFillShade="BF"/>
          </w:tcPr>
          <w:p w14:paraId="314F98F6" w14:textId="77777777" w:rsidR="007A53BF" w:rsidRPr="00D5047D" w:rsidRDefault="007A53BF" w:rsidP="00895FA0">
            <w:pPr>
              <w:pStyle w:val="FSTableHeading"/>
              <w:keepNext/>
              <w:keepLines/>
              <w:rPr>
                <w:b/>
              </w:rPr>
            </w:pPr>
            <w:r w:rsidRPr="00663713">
              <w:t>Issue</w:t>
            </w:r>
          </w:p>
        </w:tc>
        <w:tc>
          <w:tcPr>
            <w:tcW w:w="1843" w:type="dxa"/>
            <w:tcBorders>
              <w:top w:val="none" w:sz="0" w:space="0" w:color="auto"/>
              <w:left w:val="none" w:sz="0" w:space="0" w:color="auto"/>
              <w:bottom w:val="none" w:sz="0" w:space="0" w:color="auto"/>
              <w:right w:val="none" w:sz="0" w:space="0" w:color="auto"/>
            </w:tcBorders>
            <w:shd w:val="clear" w:color="auto" w:fill="76923C" w:themeFill="accent3" w:themeFillShade="BF"/>
          </w:tcPr>
          <w:p w14:paraId="314F98F7" w14:textId="77777777" w:rsidR="007A53BF" w:rsidRPr="00D5047D" w:rsidRDefault="007A53BF" w:rsidP="00895FA0">
            <w:pPr>
              <w:pStyle w:val="FSTableHeading"/>
              <w:keepNext/>
              <w:keepLines/>
              <w:cnfStyle w:val="100000000000" w:firstRow="1" w:lastRow="0" w:firstColumn="0" w:lastColumn="0" w:oddVBand="0" w:evenVBand="0" w:oddHBand="0" w:evenHBand="0" w:firstRowFirstColumn="0" w:firstRowLastColumn="0" w:lastRowFirstColumn="0" w:lastRowLastColumn="0"/>
              <w:rPr>
                <w:b/>
              </w:rPr>
            </w:pPr>
            <w:r w:rsidRPr="00663713">
              <w:t>Raised by</w:t>
            </w:r>
          </w:p>
        </w:tc>
        <w:tc>
          <w:tcPr>
            <w:tcW w:w="3082" w:type="dxa"/>
            <w:tcBorders>
              <w:top w:val="none" w:sz="0" w:space="0" w:color="auto"/>
              <w:left w:val="none" w:sz="0" w:space="0" w:color="auto"/>
              <w:bottom w:val="none" w:sz="0" w:space="0" w:color="auto"/>
              <w:right w:val="none" w:sz="0" w:space="0" w:color="auto"/>
            </w:tcBorders>
            <w:shd w:val="clear" w:color="auto" w:fill="76923C" w:themeFill="accent3" w:themeFillShade="BF"/>
          </w:tcPr>
          <w:p w14:paraId="314F98F8" w14:textId="77777777" w:rsidR="001D43F6" w:rsidRPr="00D5047D" w:rsidRDefault="007A53BF" w:rsidP="00895FA0">
            <w:pPr>
              <w:pStyle w:val="FSTableHeading"/>
              <w:keepNext/>
              <w:keepLines/>
              <w:cnfStyle w:val="100000000000" w:firstRow="1" w:lastRow="0" w:firstColumn="0" w:lastColumn="0" w:oddVBand="0" w:evenVBand="0" w:oddHBand="0" w:evenHBand="0" w:firstRowFirstColumn="0" w:firstRowLastColumn="0" w:lastRowFirstColumn="0" w:lastRowLastColumn="0"/>
              <w:rPr>
                <w:b/>
              </w:rPr>
            </w:pPr>
            <w:r w:rsidRPr="00663713">
              <w:t>FSANZ response</w:t>
            </w:r>
            <w:r w:rsidR="001D43F6" w:rsidRPr="00663713">
              <w:t xml:space="preserve"> (including any amendments to drafting)</w:t>
            </w:r>
          </w:p>
        </w:tc>
      </w:tr>
      <w:tr w:rsidR="00CE1368" w:rsidRPr="00653D9D" w14:paraId="6B7BD4A1" w14:textId="77777777" w:rsidTr="00D5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right w:val="none" w:sz="0" w:space="0" w:color="auto"/>
            </w:tcBorders>
            <w:shd w:val="clear" w:color="auto" w:fill="D6E3BC" w:themeFill="accent3" w:themeFillTint="66"/>
          </w:tcPr>
          <w:p w14:paraId="32BF24FB" w14:textId="2B71CFFA" w:rsidR="00CE1368" w:rsidRPr="00D5047D" w:rsidRDefault="00CE1368" w:rsidP="00240FD8">
            <w:pPr>
              <w:rPr>
                <w:rFonts w:cs="Arial"/>
                <w:b w:val="0"/>
                <w:sz w:val="20"/>
              </w:rPr>
            </w:pPr>
            <w:r w:rsidRPr="00D5047D">
              <w:rPr>
                <w:rFonts w:cs="Arial"/>
                <w:sz w:val="20"/>
              </w:rPr>
              <w:t>Absence of correct cross-referencing of defined terms in paragraph 1.1.2—9(1)(a)</w:t>
            </w:r>
          </w:p>
        </w:tc>
        <w:tc>
          <w:tcPr>
            <w:tcW w:w="1843" w:type="dxa"/>
            <w:tcBorders>
              <w:left w:val="none" w:sz="0" w:space="0" w:color="auto"/>
              <w:right w:val="none" w:sz="0" w:space="0" w:color="auto"/>
            </w:tcBorders>
            <w:shd w:val="clear" w:color="auto" w:fill="D6E3BC" w:themeFill="accent3" w:themeFillTint="66"/>
          </w:tcPr>
          <w:p w14:paraId="69FA883F" w14:textId="13373F98" w:rsidR="00CE1368" w:rsidRPr="00D5047D" w:rsidRDefault="00CE1368" w:rsidP="00240FD8">
            <w:pPr>
              <w:cnfStyle w:val="000000100000" w:firstRow="0" w:lastRow="0" w:firstColumn="0" w:lastColumn="0" w:oddVBand="0" w:evenVBand="0" w:oddHBand="1" w:evenHBand="0" w:firstRowFirstColumn="0" w:firstRowLastColumn="0" w:lastRowFirstColumn="0" w:lastRowLastColumn="0"/>
              <w:rPr>
                <w:rFonts w:cs="Arial"/>
                <w:sz w:val="20"/>
              </w:rPr>
            </w:pPr>
            <w:r w:rsidRPr="00D5047D">
              <w:rPr>
                <w:rFonts w:cs="Arial"/>
                <w:sz w:val="20"/>
              </w:rPr>
              <w:t>N</w:t>
            </w:r>
            <w:r w:rsidR="00663713" w:rsidRPr="00D5047D">
              <w:rPr>
                <w:rFonts w:cs="Arial"/>
                <w:sz w:val="20"/>
              </w:rPr>
              <w:t>ew Zealand Ministry For Primary Industries (</w:t>
            </w:r>
            <w:r w:rsidR="003A6D76" w:rsidRPr="00D5047D">
              <w:rPr>
                <w:rFonts w:cs="Arial"/>
                <w:sz w:val="20"/>
              </w:rPr>
              <w:t>NZ MPI</w:t>
            </w:r>
            <w:r w:rsidR="00663713" w:rsidRPr="00D5047D">
              <w:rPr>
                <w:rFonts w:cs="Arial"/>
                <w:sz w:val="20"/>
              </w:rPr>
              <w:t>)</w:t>
            </w:r>
          </w:p>
        </w:tc>
        <w:tc>
          <w:tcPr>
            <w:tcW w:w="3082" w:type="dxa"/>
            <w:tcBorders>
              <w:left w:val="none" w:sz="0" w:space="0" w:color="auto"/>
            </w:tcBorders>
            <w:shd w:val="clear" w:color="auto" w:fill="D6E3BC" w:themeFill="accent3" w:themeFillTint="66"/>
          </w:tcPr>
          <w:p w14:paraId="4B49DBA3" w14:textId="2F991827" w:rsidR="00CE1368" w:rsidRPr="00D5047D" w:rsidRDefault="00CE1368" w:rsidP="00240FD8">
            <w:pPr>
              <w:cnfStyle w:val="000000100000" w:firstRow="0" w:lastRow="0" w:firstColumn="0" w:lastColumn="0" w:oddVBand="0" w:evenVBand="0" w:oddHBand="1" w:evenHBand="0" w:firstRowFirstColumn="0" w:firstRowLastColumn="0" w:lastRowFirstColumn="0" w:lastRowLastColumn="0"/>
              <w:rPr>
                <w:rFonts w:cs="Arial"/>
                <w:b/>
                <w:sz w:val="20"/>
              </w:rPr>
            </w:pPr>
            <w:r w:rsidRPr="00D5047D">
              <w:rPr>
                <w:rFonts w:cs="Arial"/>
                <w:sz w:val="20"/>
              </w:rPr>
              <w:t>Revise paragraph in new item [4].</w:t>
            </w:r>
          </w:p>
        </w:tc>
      </w:tr>
      <w:tr w:rsidR="00CE1368" w:rsidRPr="00653D9D" w14:paraId="0120766E" w14:textId="77777777" w:rsidTr="00D5047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61" w:type="dxa"/>
            <w:tcBorders>
              <w:right w:val="none" w:sz="0" w:space="0" w:color="auto"/>
            </w:tcBorders>
          </w:tcPr>
          <w:p w14:paraId="03965C6D" w14:textId="4DD9C7BC" w:rsidR="00CE1368" w:rsidRPr="00D5047D" w:rsidRDefault="00CE1368" w:rsidP="00CE1368">
            <w:pPr>
              <w:rPr>
                <w:rFonts w:cs="Arial"/>
                <w:b w:val="0"/>
                <w:sz w:val="20"/>
              </w:rPr>
            </w:pPr>
            <w:r w:rsidRPr="00D5047D">
              <w:rPr>
                <w:rFonts w:cs="Arial"/>
                <w:sz w:val="20"/>
              </w:rPr>
              <w:lastRenderedPageBreak/>
              <w:t xml:space="preserve">The proposed variation of </w:t>
            </w:r>
            <w:r w:rsidR="002E33B8" w:rsidRPr="00D5047D">
              <w:rPr>
                <w:rFonts w:cs="Arial"/>
                <w:sz w:val="20"/>
              </w:rPr>
              <w:t xml:space="preserve">tables in Schedule 6 may require additional cross-referencing of the defined term </w:t>
            </w:r>
            <w:r w:rsidR="002E33B8" w:rsidRPr="00D5047D">
              <w:rPr>
                <w:rFonts w:cs="Arial"/>
                <w:i/>
                <w:sz w:val="20"/>
              </w:rPr>
              <w:t>unit quantity</w:t>
            </w:r>
          </w:p>
        </w:tc>
        <w:tc>
          <w:tcPr>
            <w:tcW w:w="1843" w:type="dxa"/>
            <w:tcBorders>
              <w:left w:val="none" w:sz="0" w:space="0" w:color="auto"/>
              <w:right w:val="none" w:sz="0" w:space="0" w:color="auto"/>
            </w:tcBorders>
          </w:tcPr>
          <w:p w14:paraId="3A648675" w14:textId="1EFCD113" w:rsidR="00CE1368" w:rsidRPr="00D5047D" w:rsidRDefault="003A6D76" w:rsidP="00CE1368">
            <w:pPr>
              <w:cnfStyle w:val="000000010000" w:firstRow="0" w:lastRow="0" w:firstColumn="0" w:lastColumn="0" w:oddVBand="0" w:evenVBand="0" w:oddHBand="0" w:evenHBand="1" w:firstRowFirstColumn="0" w:firstRowLastColumn="0" w:lastRowFirstColumn="0" w:lastRowLastColumn="0"/>
              <w:rPr>
                <w:rFonts w:cs="Arial"/>
                <w:b/>
                <w:sz w:val="20"/>
              </w:rPr>
            </w:pPr>
            <w:r w:rsidRPr="00D5047D">
              <w:rPr>
                <w:rFonts w:cs="Arial"/>
                <w:sz w:val="20"/>
              </w:rPr>
              <w:t>NZ MPI</w:t>
            </w:r>
            <w:bookmarkStart w:id="54" w:name="_GoBack"/>
            <w:bookmarkEnd w:id="54"/>
          </w:p>
        </w:tc>
        <w:tc>
          <w:tcPr>
            <w:tcW w:w="3082" w:type="dxa"/>
            <w:tcBorders>
              <w:left w:val="none" w:sz="0" w:space="0" w:color="auto"/>
            </w:tcBorders>
          </w:tcPr>
          <w:p w14:paraId="3D870D92" w14:textId="024DC0D8" w:rsidR="00CE1368" w:rsidRPr="00D5047D" w:rsidRDefault="002E33B8" w:rsidP="00CE1368">
            <w:pPr>
              <w:cnfStyle w:val="000000010000" w:firstRow="0" w:lastRow="0" w:firstColumn="0" w:lastColumn="0" w:oddVBand="0" w:evenVBand="0" w:oddHBand="0" w:evenHBand="1" w:firstRowFirstColumn="0" w:firstRowLastColumn="0" w:lastRowFirstColumn="0" w:lastRowLastColumn="0"/>
              <w:rPr>
                <w:rFonts w:cs="Arial"/>
                <w:b/>
                <w:sz w:val="20"/>
              </w:rPr>
            </w:pPr>
            <w:r w:rsidRPr="00D5047D">
              <w:rPr>
                <w:rFonts w:cs="Arial"/>
                <w:sz w:val="20"/>
              </w:rPr>
              <w:t xml:space="preserve">FSANZ has not made additional  variations as </w:t>
            </w:r>
            <w:r w:rsidRPr="00D5047D">
              <w:rPr>
                <w:rFonts w:cs="Arial"/>
                <w:i/>
                <w:sz w:val="20"/>
              </w:rPr>
              <w:t>unit quantity</w:t>
            </w:r>
            <w:r w:rsidRPr="00D5047D">
              <w:rPr>
                <w:rFonts w:cs="Arial"/>
                <w:sz w:val="20"/>
              </w:rPr>
              <w:t xml:space="preserve"> is a defined term</w:t>
            </w:r>
            <w:r w:rsidR="00420956" w:rsidRPr="00D5047D">
              <w:rPr>
                <w:rFonts w:cs="Arial"/>
                <w:sz w:val="20"/>
              </w:rPr>
              <w:t>. Subsection 1.1.1—16(4) does not exclude the use of asterisks in tables.</w:t>
            </w:r>
          </w:p>
        </w:tc>
      </w:tr>
    </w:tbl>
    <w:p w14:paraId="314F9908" w14:textId="3C146AA5" w:rsidR="002C1A3B" w:rsidRPr="00653D9D" w:rsidRDefault="002C1A3B" w:rsidP="00557185">
      <w:pPr>
        <w:pStyle w:val="Heading2"/>
      </w:pPr>
      <w:bookmarkStart w:id="55" w:name="_Toc370223472"/>
      <w:bookmarkStart w:id="56" w:name="_Toc370225387"/>
      <w:bookmarkStart w:id="57" w:name="_Toc471478805"/>
      <w:bookmarkStart w:id="58" w:name="_Toc471478942"/>
      <w:bookmarkStart w:id="59" w:name="_Toc309291812"/>
      <w:bookmarkStart w:id="60" w:name="_Toc175381442"/>
      <w:bookmarkEnd w:id="48"/>
      <w:bookmarkEnd w:id="49"/>
      <w:bookmarkEnd w:id="50"/>
      <w:bookmarkEnd w:id="51"/>
      <w:bookmarkEnd w:id="52"/>
      <w:bookmarkEnd w:id="53"/>
      <w:r w:rsidRPr="00653D9D">
        <w:t>2.2</w:t>
      </w:r>
      <w:r w:rsidRPr="00653D9D">
        <w:tab/>
        <w:t>Risk assessment</w:t>
      </w:r>
      <w:bookmarkEnd w:id="55"/>
      <w:bookmarkEnd w:id="56"/>
      <w:bookmarkEnd w:id="57"/>
      <w:bookmarkEnd w:id="58"/>
      <w:r w:rsidRPr="00653D9D">
        <w:t xml:space="preserve"> </w:t>
      </w:r>
    </w:p>
    <w:p w14:paraId="314F9909" w14:textId="77777777" w:rsidR="001C51DC" w:rsidRPr="00653D9D" w:rsidRDefault="001C51DC" w:rsidP="001C51DC">
      <w:bookmarkStart w:id="61" w:name="_Toc370223473"/>
      <w:bookmarkStart w:id="62" w:name="_Toc370225388"/>
      <w:bookmarkStart w:id="63" w:name="_Toc175381450"/>
      <w:bookmarkEnd w:id="59"/>
      <w:bookmarkEnd w:id="60"/>
      <w:r w:rsidRPr="00653D9D">
        <w:t>All of the issues considered are relatively minor in nature, and fall into the following broad categories:</w:t>
      </w:r>
    </w:p>
    <w:p w14:paraId="314F990A" w14:textId="77777777" w:rsidR="001C51DC" w:rsidRPr="00653D9D" w:rsidRDefault="001C51DC" w:rsidP="001C51DC"/>
    <w:p w14:paraId="314F990B" w14:textId="77777777" w:rsidR="001C51DC" w:rsidRPr="00653D9D" w:rsidRDefault="001C51DC" w:rsidP="00663713">
      <w:pPr>
        <w:pStyle w:val="FSBullet1"/>
        <w:rPr>
          <w:b/>
        </w:rPr>
      </w:pPr>
      <w:bookmarkStart w:id="64" w:name="_Toc327517525"/>
      <w:r w:rsidRPr="00653D9D">
        <w:rPr>
          <w:b/>
        </w:rPr>
        <w:t>correcting minor errors and omissions, and improving clarity</w:t>
      </w:r>
      <w:bookmarkEnd w:id="64"/>
      <w:r w:rsidRPr="00653D9D">
        <w:rPr>
          <w:b/>
        </w:rPr>
        <w:t xml:space="preserve"> </w:t>
      </w:r>
    </w:p>
    <w:p w14:paraId="314F990C" w14:textId="77777777" w:rsidR="001C51DC" w:rsidRPr="00653D9D" w:rsidRDefault="001C51DC">
      <w:pPr>
        <w:widowControl/>
        <w:ind w:left="567"/>
        <w:rPr>
          <w:rFonts w:cs="Arial"/>
          <w:lang w:bidi="ar-SA"/>
        </w:rPr>
      </w:pPr>
      <w:r w:rsidRPr="00653D9D">
        <w:rPr>
          <w:rFonts w:cs="Arial"/>
          <w:lang w:bidi="ar-SA"/>
        </w:rPr>
        <w:t>The amendments include the correction of typographical errors and incorrect spelling and punctuation, as well as re-wording of text to improve clarity.</w:t>
      </w:r>
    </w:p>
    <w:p w14:paraId="314F990D" w14:textId="77777777" w:rsidR="001C51DC" w:rsidRPr="00653D9D" w:rsidRDefault="001C51DC" w:rsidP="001C51DC">
      <w:pPr>
        <w:rPr>
          <w:lang w:bidi="ar-SA"/>
        </w:rPr>
      </w:pPr>
    </w:p>
    <w:p w14:paraId="314F9911" w14:textId="77777777" w:rsidR="001C51DC" w:rsidRPr="00653D9D" w:rsidRDefault="001C51DC">
      <w:pPr>
        <w:pStyle w:val="FSBullet1"/>
        <w:rPr>
          <w:b/>
        </w:rPr>
      </w:pPr>
      <w:r w:rsidRPr="00653D9D">
        <w:rPr>
          <w:b/>
        </w:rPr>
        <w:t>updating material from international sources</w:t>
      </w:r>
    </w:p>
    <w:p w14:paraId="314F9912" w14:textId="77777777" w:rsidR="001C51DC" w:rsidRPr="00653D9D" w:rsidRDefault="001C51DC" w:rsidP="00E0193B">
      <w:pPr>
        <w:widowControl/>
        <w:ind w:left="567"/>
        <w:rPr>
          <w:rFonts w:cs="Arial"/>
          <w:lang w:bidi="ar-SA"/>
        </w:rPr>
      </w:pPr>
      <w:r w:rsidRPr="00653D9D">
        <w:rPr>
          <w:rFonts w:cs="Arial"/>
          <w:lang w:bidi="ar-SA"/>
        </w:rPr>
        <w:t>These changes include the replacement of references to more recent international publications. The inclusion of these references, numbering and nomenclature alters the legal effect of the affected standards.</w:t>
      </w:r>
    </w:p>
    <w:p w14:paraId="314F9913" w14:textId="77777777" w:rsidR="001C51DC" w:rsidRPr="00653D9D" w:rsidRDefault="001C51DC" w:rsidP="00E0193B">
      <w:pPr>
        <w:ind w:left="567"/>
        <w:rPr>
          <w:lang w:bidi="ar-SA"/>
        </w:rPr>
      </w:pPr>
    </w:p>
    <w:p w14:paraId="314F9914" w14:textId="77777777" w:rsidR="001C51DC" w:rsidRPr="00653D9D" w:rsidRDefault="001C51DC" w:rsidP="00E0193B">
      <w:pPr>
        <w:ind w:left="567"/>
        <w:rPr>
          <w:lang w:bidi="ar-SA"/>
        </w:rPr>
      </w:pPr>
      <w:r w:rsidRPr="00653D9D">
        <w:rPr>
          <w:lang w:bidi="ar-SA"/>
        </w:rPr>
        <w:t>FSANZ has confidence in the specialist abilities of the internationally recognised scientific organisations or authorities producing these publications. FSANZ is satisfied that appropriate and rigorous assessments have been carried out by these bodies to ensure that there are no public health or safety issues and that these publications can be incorporated by reference in the Code.</w:t>
      </w:r>
    </w:p>
    <w:p w14:paraId="314F9915" w14:textId="77777777" w:rsidR="001C51DC" w:rsidRPr="00653D9D" w:rsidRDefault="001C51DC" w:rsidP="001C51DC">
      <w:pPr>
        <w:rPr>
          <w:lang w:bidi="ar-SA"/>
        </w:rPr>
      </w:pPr>
    </w:p>
    <w:p w14:paraId="314F9916" w14:textId="77777777" w:rsidR="001C51DC" w:rsidRPr="00653D9D" w:rsidRDefault="001C51DC">
      <w:pPr>
        <w:pStyle w:val="FSBullet1"/>
        <w:rPr>
          <w:b/>
        </w:rPr>
      </w:pPr>
      <w:r w:rsidRPr="00653D9D">
        <w:rPr>
          <w:b/>
        </w:rPr>
        <w:t>omitting material that is no longer required</w:t>
      </w:r>
    </w:p>
    <w:p w14:paraId="314F9917" w14:textId="2567A472" w:rsidR="001C51DC" w:rsidRPr="00653D9D" w:rsidRDefault="0096344C" w:rsidP="001A7074">
      <w:pPr>
        <w:widowControl/>
        <w:ind w:left="567"/>
        <w:rPr>
          <w:rFonts w:cs="Arial"/>
          <w:lang w:bidi="ar-SA"/>
        </w:rPr>
      </w:pPr>
      <w:r w:rsidRPr="00653D9D">
        <w:rPr>
          <w:rFonts w:cs="Arial"/>
          <w:szCs w:val="22"/>
          <w:lang w:bidi="ar-SA"/>
        </w:rPr>
        <w:t xml:space="preserve">A variation removed a reference to </w:t>
      </w:r>
      <w:r w:rsidR="002E33B8" w:rsidRPr="00653D9D">
        <w:rPr>
          <w:rFonts w:cs="Arial"/>
          <w:szCs w:val="22"/>
          <w:lang w:bidi="ar-SA"/>
        </w:rPr>
        <w:t>‘</w:t>
      </w:r>
      <w:r w:rsidRPr="00653D9D">
        <w:rPr>
          <w:rFonts w:cs="Arial"/>
          <w:szCs w:val="22"/>
          <w:lang w:bidi="ar-SA"/>
        </w:rPr>
        <w:t>phytylmenoquinone</w:t>
      </w:r>
      <w:r w:rsidR="002E33B8" w:rsidRPr="00653D9D">
        <w:rPr>
          <w:rFonts w:cs="Arial"/>
          <w:szCs w:val="22"/>
          <w:lang w:bidi="ar-SA"/>
        </w:rPr>
        <w:t>’</w:t>
      </w:r>
      <w:r w:rsidRPr="00653D9D">
        <w:rPr>
          <w:rFonts w:cs="Arial"/>
          <w:szCs w:val="22"/>
          <w:lang w:bidi="ar-SA"/>
        </w:rPr>
        <w:t xml:space="preserve"> as a permitted form of Vitamin K. The name is </w:t>
      </w:r>
      <w:r w:rsidR="002E33B8" w:rsidRPr="00653D9D">
        <w:rPr>
          <w:rFonts w:cs="Arial"/>
          <w:szCs w:val="22"/>
          <w:lang w:bidi="ar-SA"/>
        </w:rPr>
        <w:t>an error</w:t>
      </w:r>
      <w:r w:rsidRPr="00653D9D">
        <w:rPr>
          <w:rFonts w:cs="Arial"/>
          <w:szCs w:val="22"/>
          <w:lang w:bidi="ar-SA"/>
        </w:rPr>
        <w:t xml:space="preserve"> and should not be used</w:t>
      </w:r>
      <w:r w:rsidR="001C51DC" w:rsidRPr="00653D9D">
        <w:rPr>
          <w:rFonts w:cs="Arial"/>
          <w:lang w:bidi="ar-SA"/>
        </w:rPr>
        <w:t xml:space="preserve">.  </w:t>
      </w:r>
    </w:p>
    <w:p w14:paraId="314F991A" w14:textId="77777777" w:rsidR="001C51DC" w:rsidRPr="00653D9D" w:rsidRDefault="001C51DC" w:rsidP="001C51DC"/>
    <w:p w14:paraId="314F991B" w14:textId="77777777" w:rsidR="001C51DC" w:rsidRPr="00653D9D" w:rsidRDefault="001C51DC" w:rsidP="001C51DC">
      <w:r w:rsidRPr="00653D9D">
        <w:t xml:space="preserve">No potential public health and safety concerns have been identified. </w:t>
      </w:r>
    </w:p>
    <w:p w14:paraId="314F991C" w14:textId="77777777" w:rsidR="002C1A3B" w:rsidRPr="00653D9D" w:rsidRDefault="002C1A3B" w:rsidP="002C1A3B">
      <w:pPr>
        <w:pStyle w:val="Heading2"/>
      </w:pPr>
      <w:bookmarkStart w:id="65" w:name="_Toc471478806"/>
      <w:bookmarkStart w:id="66" w:name="_Toc471478943"/>
      <w:r w:rsidRPr="00653D9D">
        <w:t>2.3</w:t>
      </w:r>
      <w:r w:rsidRPr="00653D9D">
        <w:tab/>
        <w:t>Risk management</w:t>
      </w:r>
      <w:bookmarkEnd w:id="61"/>
      <w:bookmarkEnd w:id="62"/>
      <w:bookmarkEnd w:id="65"/>
      <w:bookmarkEnd w:id="66"/>
    </w:p>
    <w:p w14:paraId="5253AF46" w14:textId="7A82DA98" w:rsidR="009565CD" w:rsidRDefault="001C51DC" w:rsidP="00474842">
      <w:bookmarkStart w:id="67" w:name="_Toc309291814"/>
      <w:bookmarkStart w:id="68" w:name="_Toc370225389"/>
      <w:bookmarkStart w:id="69" w:name="_Toc286391012"/>
      <w:bookmarkEnd w:id="63"/>
      <w:r w:rsidRPr="00653D9D">
        <w:rPr>
          <w:rFonts w:cs="Arial"/>
        </w:rPr>
        <w:t>The proposed amendments wil</w:t>
      </w:r>
      <w:r w:rsidRPr="00653D9D">
        <w:t>l ensure that the Code remains current and that errors and inconsistencies are addressed.</w:t>
      </w:r>
    </w:p>
    <w:p w14:paraId="314F991D" w14:textId="15E89ECF" w:rsidR="002C1A3B" w:rsidRPr="00653D9D" w:rsidRDefault="002C1A3B" w:rsidP="00D5047D">
      <w:pPr>
        <w:pStyle w:val="Heading2"/>
      </w:pPr>
      <w:r w:rsidRPr="00653D9D">
        <w:t>2.4</w:t>
      </w:r>
      <w:r w:rsidRPr="00653D9D">
        <w:tab/>
        <w:t>Risk communication</w:t>
      </w:r>
      <w:bookmarkEnd w:id="67"/>
      <w:bookmarkEnd w:id="68"/>
      <w:r w:rsidRPr="00653D9D">
        <w:t xml:space="preserve"> </w:t>
      </w:r>
    </w:p>
    <w:p w14:paraId="314F991E" w14:textId="2FA14E59" w:rsidR="002C1A3B" w:rsidRPr="00653D9D" w:rsidRDefault="005C62EE" w:rsidP="009565CD">
      <w:pPr>
        <w:pStyle w:val="Heading3"/>
      </w:pPr>
      <w:bookmarkStart w:id="70" w:name="_Toc300933437"/>
      <w:bookmarkStart w:id="71" w:name="_Toc370223475"/>
      <w:bookmarkStart w:id="72" w:name="_Toc370225390"/>
      <w:bookmarkStart w:id="73" w:name="_Toc471478807"/>
      <w:bookmarkStart w:id="74" w:name="_Toc471478944"/>
      <w:r w:rsidRPr="00653D9D">
        <w:t>2.4</w:t>
      </w:r>
      <w:r w:rsidR="002C1A3B" w:rsidRPr="00653D9D">
        <w:tab/>
        <w:t>Consultation</w:t>
      </w:r>
      <w:bookmarkEnd w:id="70"/>
      <w:bookmarkEnd w:id="71"/>
      <w:bookmarkEnd w:id="72"/>
      <w:bookmarkEnd w:id="73"/>
      <w:bookmarkEnd w:id="74"/>
    </w:p>
    <w:p w14:paraId="314F991F" w14:textId="77777777" w:rsidR="001C76CF" w:rsidRPr="00653D9D" w:rsidRDefault="001C76CF" w:rsidP="004627B6">
      <w:pPr>
        <w:ind w:right="-286"/>
      </w:pPr>
      <w:r w:rsidRPr="00653D9D">
        <w:t xml:space="preserve">Consultation is a key part of FSANZ’s standards development process. FSANZ acknowledges the time taken by individuals and organisations to make submissions on this Proposal. </w:t>
      </w:r>
    </w:p>
    <w:p w14:paraId="314F9920" w14:textId="77777777" w:rsidR="001C76CF" w:rsidRPr="00653D9D" w:rsidRDefault="001C76CF" w:rsidP="001C76CF"/>
    <w:p w14:paraId="314F9921" w14:textId="305702DF" w:rsidR="001C76CF" w:rsidRPr="00653D9D" w:rsidRDefault="001C76CF" w:rsidP="001C76CF">
      <w:r w:rsidRPr="00653D9D">
        <w:t xml:space="preserve">Public submissions were invited on draft variations which were released for public comment between </w:t>
      </w:r>
      <w:r w:rsidR="00BB3262" w:rsidRPr="00653D9D">
        <w:t>18</w:t>
      </w:r>
      <w:r w:rsidR="0096344C" w:rsidRPr="00653D9D">
        <w:t xml:space="preserve"> April</w:t>
      </w:r>
      <w:r w:rsidR="00895FA0" w:rsidRPr="00653D9D">
        <w:t xml:space="preserve"> </w:t>
      </w:r>
      <w:r w:rsidR="0096344C" w:rsidRPr="00653D9D">
        <w:t xml:space="preserve">2017 </w:t>
      </w:r>
      <w:r w:rsidRPr="00653D9D">
        <w:t xml:space="preserve">and </w:t>
      </w:r>
      <w:r w:rsidR="00BB3262" w:rsidRPr="00653D9D">
        <w:t>1</w:t>
      </w:r>
      <w:r w:rsidR="002E33B8" w:rsidRPr="00653D9D">
        <w:t>6</w:t>
      </w:r>
      <w:r w:rsidR="0096344C" w:rsidRPr="00653D9D">
        <w:t xml:space="preserve"> May 2017</w:t>
      </w:r>
      <w:r w:rsidRPr="00653D9D">
        <w:t>. The call for submissions was notified via the Notification Circular and</w:t>
      </w:r>
      <w:r w:rsidRPr="00653D9D">
        <w:rPr>
          <w:lang w:bidi="ar-SA"/>
        </w:rPr>
        <w:t xml:space="preserve"> Food Standards News. </w:t>
      </w:r>
      <w:r w:rsidRPr="00653D9D">
        <w:t xml:space="preserve">Subscribers and interested parties were also notified. </w:t>
      </w:r>
    </w:p>
    <w:p w14:paraId="314F9922" w14:textId="77777777" w:rsidR="001C76CF" w:rsidRPr="00653D9D" w:rsidRDefault="001C76CF" w:rsidP="001C76CF"/>
    <w:p w14:paraId="314F9926" w14:textId="23BE3621" w:rsidR="00557185" w:rsidRDefault="00663713" w:rsidP="001C76CF">
      <w:pPr>
        <w:rPr>
          <w:szCs w:val="22"/>
        </w:rPr>
      </w:pPr>
      <w:r>
        <w:t>Two</w:t>
      </w:r>
      <w:r w:rsidRPr="00653D9D">
        <w:t xml:space="preserve"> </w:t>
      </w:r>
      <w:r w:rsidR="001C76CF" w:rsidRPr="00653D9D">
        <w:t>submissions were received</w:t>
      </w:r>
      <w:r w:rsidR="002E33B8" w:rsidRPr="00653D9D">
        <w:t xml:space="preserve">. </w:t>
      </w:r>
      <w:r w:rsidR="001C76CF" w:rsidRPr="00653D9D">
        <w:rPr>
          <w:szCs w:val="22"/>
        </w:rPr>
        <w:t>All submissions were considered by the FSANZ Board.</w:t>
      </w:r>
      <w:r w:rsidR="00557185">
        <w:rPr>
          <w:szCs w:val="22"/>
        </w:rPr>
        <w:br w:type="page"/>
      </w:r>
    </w:p>
    <w:p w14:paraId="314F992A" w14:textId="09BC3DB0" w:rsidR="002C1A3B" w:rsidRPr="00653D9D" w:rsidRDefault="002C1A3B" w:rsidP="002C1A3B">
      <w:pPr>
        <w:pStyle w:val="Heading2"/>
      </w:pPr>
      <w:bookmarkStart w:id="75" w:name="_Toc370223477"/>
      <w:bookmarkStart w:id="76" w:name="_Toc370225392"/>
      <w:bookmarkStart w:id="77" w:name="_Toc471478808"/>
      <w:bookmarkStart w:id="78" w:name="_Toc471478945"/>
      <w:bookmarkStart w:id="79" w:name="_Toc309291816"/>
      <w:bookmarkStart w:id="80" w:name="_Toc300933448"/>
      <w:bookmarkStart w:id="81" w:name="_Toc300933577"/>
      <w:bookmarkStart w:id="82" w:name="_Toc301535601"/>
      <w:bookmarkStart w:id="83" w:name="_Toc309385464"/>
      <w:bookmarkStart w:id="84" w:name="_Toc175381456"/>
      <w:bookmarkEnd w:id="37"/>
      <w:bookmarkEnd w:id="38"/>
      <w:bookmarkEnd w:id="39"/>
      <w:bookmarkEnd w:id="40"/>
      <w:bookmarkEnd w:id="41"/>
      <w:bookmarkEnd w:id="42"/>
      <w:bookmarkEnd w:id="69"/>
      <w:r w:rsidRPr="00653D9D">
        <w:lastRenderedPageBreak/>
        <w:t>2.5</w:t>
      </w:r>
      <w:r w:rsidRPr="00653D9D">
        <w:tab/>
        <w:t>FSANZ Act assessment requirements</w:t>
      </w:r>
      <w:bookmarkEnd w:id="75"/>
      <w:bookmarkEnd w:id="76"/>
      <w:bookmarkEnd w:id="77"/>
      <w:bookmarkEnd w:id="78"/>
    </w:p>
    <w:p w14:paraId="314F992B" w14:textId="77777777" w:rsidR="002C1A3B" w:rsidRPr="00653D9D" w:rsidRDefault="002C1A3B" w:rsidP="002C1A3B">
      <w:pPr>
        <w:pStyle w:val="Heading3"/>
      </w:pPr>
      <w:bookmarkStart w:id="85" w:name="_Toc370223478"/>
      <w:bookmarkStart w:id="86" w:name="_Toc370225393"/>
      <w:bookmarkStart w:id="87" w:name="_Toc471478809"/>
      <w:bookmarkStart w:id="88" w:name="_Toc471478946"/>
      <w:bookmarkEnd w:id="79"/>
      <w:bookmarkEnd w:id="80"/>
      <w:bookmarkEnd w:id="81"/>
      <w:bookmarkEnd w:id="82"/>
      <w:bookmarkEnd w:id="83"/>
      <w:r w:rsidRPr="00653D9D">
        <w:t>2.5.1</w:t>
      </w:r>
      <w:r w:rsidRPr="00653D9D">
        <w:tab/>
        <w:t>Section 59</w:t>
      </w:r>
      <w:bookmarkEnd w:id="85"/>
      <w:bookmarkEnd w:id="86"/>
      <w:bookmarkEnd w:id="87"/>
      <w:bookmarkEnd w:id="88"/>
    </w:p>
    <w:p w14:paraId="77494F3D" w14:textId="7A70DDDA" w:rsidR="002B0EDB" w:rsidRPr="00ED60A7" w:rsidRDefault="002C1A3B" w:rsidP="002B0EDB">
      <w:pPr>
        <w:pStyle w:val="Heading4"/>
      </w:pPr>
      <w:r w:rsidRPr="00653D9D">
        <w:t>2.5.1.1</w:t>
      </w:r>
      <w:r w:rsidRPr="00653D9D">
        <w:tab/>
      </w:r>
      <w:r w:rsidR="00BF45A3" w:rsidRPr="00653D9D">
        <w:t>Consideration of costs and</w:t>
      </w:r>
      <w:r w:rsidRPr="00653D9D">
        <w:t xml:space="preserve"> benefit</w:t>
      </w:r>
      <w:r w:rsidR="00BF45A3" w:rsidRPr="00653D9D">
        <w:t>s</w:t>
      </w:r>
    </w:p>
    <w:p w14:paraId="5271BDA9" w14:textId="77777777" w:rsidR="002B0EDB" w:rsidRPr="00DD2711" w:rsidRDefault="002B0EDB" w:rsidP="002B0EDB">
      <w:r w:rsidRPr="00DD2711">
        <w:t>Section 59 requires FSANZ to have regard to whether the direct and indirect benefits that would arise from a food regulatory measure developed as a result of this Proposal will outweigh the costs to the community, Government or industry that would arise from the development of that measure.</w:t>
      </w:r>
    </w:p>
    <w:p w14:paraId="7085E8D0" w14:textId="77777777" w:rsidR="002B0EDB" w:rsidRPr="00DD2711" w:rsidRDefault="002B0EDB" w:rsidP="002B0EDB">
      <w:pPr>
        <w:rPr>
          <w:rFonts w:cs="Arial"/>
        </w:rPr>
      </w:pPr>
      <w:r w:rsidRPr="00DD2711">
        <w:rPr>
          <w:rFonts w:cs="Arial"/>
        </w:rPr>
        <w:t xml:space="preserve"> </w:t>
      </w:r>
    </w:p>
    <w:p w14:paraId="5C416D65" w14:textId="16A6CB34" w:rsidR="002B0EDB" w:rsidRPr="00DD2711" w:rsidRDefault="002B0EDB" w:rsidP="002B0EDB">
      <w:r w:rsidRPr="00DD2711">
        <w:rPr>
          <w:rFonts w:cs="Arial"/>
        </w:rPr>
        <w:t>Proposal P104</w:t>
      </w:r>
      <w:r w:rsidR="0014187D" w:rsidRPr="00DD2711">
        <w:rPr>
          <w:rFonts w:cs="Arial"/>
        </w:rPr>
        <w:t>5</w:t>
      </w:r>
      <w:r w:rsidRPr="00DD2711">
        <w:rPr>
          <w:rFonts w:cs="Arial"/>
        </w:rPr>
        <w:t xml:space="preserve"> </w:t>
      </w:r>
      <w:r w:rsidR="00EC257D" w:rsidRPr="00DD2711">
        <w:rPr>
          <w:rFonts w:cs="Arial"/>
        </w:rPr>
        <w:t>aims</w:t>
      </w:r>
      <w:r w:rsidRPr="00DD2711">
        <w:rPr>
          <w:rFonts w:cs="Arial"/>
        </w:rPr>
        <w:t xml:space="preserve"> to correct </w:t>
      </w:r>
      <w:r w:rsidR="005B21C5" w:rsidRPr="00DD2711">
        <w:rPr>
          <w:lang w:bidi="ar-SA"/>
        </w:rPr>
        <w:t>typographical errors</w:t>
      </w:r>
      <w:r w:rsidR="006E1F73" w:rsidRPr="00DD2711">
        <w:rPr>
          <w:lang w:bidi="ar-SA"/>
        </w:rPr>
        <w:t>;</w:t>
      </w:r>
      <w:r w:rsidR="00127254" w:rsidRPr="00DD2711">
        <w:rPr>
          <w:lang w:bidi="ar-SA"/>
        </w:rPr>
        <w:t xml:space="preserve"> </w:t>
      </w:r>
      <w:r w:rsidR="006E1F73" w:rsidRPr="00DD2711">
        <w:rPr>
          <w:lang w:bidi="ar-SA"/>
        </w:rPr>
        <w:t>resolve</w:t>
      </w:r>
      <w:r w:rsidR="005B21C5" w:rsidRPr="00DD2711">
        <w:rPr>
          <w:lang w:bidi="ar-SA"/>
        </w:rPr>
        <w:t xml:space="preserve"> formatting issues; and update references</w:t>
      </w:r>
      <w:r w:rsidRPr="00DD2711">
        <w:rPr>
          <w:rFonts w:cs="Arial"/>
        </w:rPr>
        <w:t xml:space="preserve">. </w:t>
      </w:r>
      <w:r w:rsidRPr="00DD2711">
        <w:br/>
      </w:r>
    </w:p>
    <w:p w14:paraId="550EA2DE" w14:textId="1B0FE6E6" w:rsidR="002B0EDB" w:rsidRPr="00DD2711" w:rsidRDefault="004C0D7A" w:rsidP="002B0EDB">
      <w:pPr>
        <w:rPr>
          <w:rFonts w:eastAsia="Calibri"/>
        </w:rPr>
      </w:pPr>
      <w:r w:rsidRPr="00DD2711">
        <w:rPr>
          <w:rFonts w:cs="Arial"/>
        </w:rPr>
        <w:t>A</w:t>
      </w:r>
      <w:r w:rsidR="00CE51C2" w:rsidRPr="00DD2711">
        <w:rPr>
          <w:rFonts w:cs="Arial"/>
        </w:rPr>
        <w:t xml:space="preserve">s stated above, </w:t>
      </w:r>
      <w:r w:rsidR="00CE51C2" w:rsidRPr="00DD2711">
        <w:t>references in the Code become superseded as the documents they refer to are updated</w:t>
      </w:r>
      <w:r w:rsidR="00CE51C2" w:rsidRPr="00DD2711">
        <w:rPr>
          <w:rFonts w:eastAsia="Calibri"/>
        </w:rPr>
        <w:t xml:space="preserve">. </w:t>
      </w:r>
      <w:r w:rsidR="00EC257D" w:rsidRPr="00DD2711">
        <w:rPr>
          <w:rFonts w:eastAsia="Calibri"/>
        </w:rPr>
        <w:t xml:space="preserve">The draft variation </w:t>
      </w:r>
      <w:r w:rsidR="00F915F8" w:rsidRPr="00DD2711">
        <w:rPr>
          <w:rFonts w:eastAsia="Calibri"/>
        </w:rPr>
        <w:t>includes</w:t>
      </w:r>
      <w:r w:rsidR="00EC257D" w:rsidRPr="00DD2711">
        <w:rPr>
          <w:rFonts w:eastAsia="Calibri"/>
        </w:rPr>
        <w:t xml:space="preserve"> new and updated specifications for some permitted substances (such as food additives). This ensures the Code is updated with the latest internationally recognised specifications. W</w:t>
      </w:r>
      <w:r w:rsidR="002B0EDB" w:rsidRPr="00DD2711">
        <w:rPr>
          <w:rFonts w:eastAsia="Calibri"/>
        </w:rPr>
        <w:t xml:space="preserve">ithout the draft variation, the Code will remain </w:t>
      </w:r>
      <w:r w:rsidR="00A635A9" w:rsidRPr="00DD2711">
        <w:rPr>
          <w:rFonts w:eastAsia="Calibri"/>
        </w:rPr>
        <w:t>out of date</w:t>
      </w:r>
      <w:r w:rsidR="002B0EDB" w:rsidRPr="00DD2711">
        <w:rPr>
          <w:rFonts w:eastAsia="Calibri"/>
        </w:rPr>
        <w:t>.</w:t>
      </w:r>
    </w:p>
    <w:p w14:paraId="0D76A11F" w14:textId="77777777" w:rsidR="004C0D7A" w:rsidRPr="00DD2711" w:rsidRDefault="004C0D7A" w:rsidP="002B0EDB">
      <w:pPr>
        <w:rPr>
          <w:rFonts w:eastAsia="Calibri"/>
        </w:rPr>
      </w:pPr>
    </w:p>
    <w:p w14:paraId="5341807F" w14:textId="0AE42C01" w:rsidR="004C0D7A" w:rsidRPr="00DD2711" w:rsidRDefault="005A40F0" w:rsidP="002B0EDB">
      <w:pPr>
        <w:rPr>
          <w:rFonts w:eastAsia="Calibri"/>
        </w:rPr>
      </w:pPr>
      <w:r w:rsidRPr="00DD2711">
        <w:rPr>
          <w:rFonts w:cs="Arial"/>
        </w:rPr>
        <w:t>T</w:t>
      </w:r>
      <w:r w:rsidR="004C0D7A" w:rsidRPr="00DD2711">
        <w:rPr>
          <w:rFonts w:cs="Arial"/>
        </w:rPr>
        <w:t xml:space="preserve">he </w:t>
      </w:r>
      <w:r w:rsidR="004C0D7A" w:rsidRPr="00DD2711">
        <w:t>draft variation is not expected to impose costs on the community, industry or Government that are additional to those already generated by compliance with or enforcement of the current Code.</w:t>
      </w:r>
    </w:p>
    <w:p w14:paraId="2D8AFD0F" w14:textId="77777777" w:rsidR="002B0EDB" w:rsidRPr="00DD2711" w:rsidRDefault="002B0EDB" w:rsidP="002B0EDB">
      <w:pPr>
        <w:rPr>
          <w:rFonts w:cs="Arial"/>
        </w:rPr>
      </w:pPr>
    </w:p>
    <w:p w14:paraId="481AFD31" w14:textId="77777777" w:rsidR="002B0EDB" w:rsidRPr="00054E77" w:rsidRDefault="002B0EDB" w:rsidP="002B0EDB">
      <w:r w:rsidRPr="00DD2711">
        <w:t>For this reason, one can reasonably conclude that the benefits to the community, Government or industry that will arise from the draft variation will outweigh the costs that would arise from the development of that measure</w:t>
      </w:r>
      <w:r w:rsidRPr="00DD2711">
        <w:rPr>
          <w:rFonts w:eastAsia="Calibri"/>
        </w:rPr>
        <w:t>.</w:t>
      </w:r>
    </w:p>
    <w:p w14:paraId="314F992E" w14:textId="77777777" w:rsidR="002C1A3B" w:rsidRPr="00653D9D" w:rsidRDefault="002C1A3B" w:rsidP="002C1A3B">
      <w:pPr>
        <w:pStyle w:val="Heading4"/>
      </w:pPr>
      <w:r w:rsidRPr="00653D9D">
        <w:t>2.5.1.2</w:t>
      </w:r>
      <w:r w:rsidRPr="00653D9D">
        <w:tab/>
        <w:t>Other measures</w:t>
      </w:r>
    </w:p>
    <w:p w14:paraId="314F992F" w14:textId="77777777" w:rsidR="002C1A3B" w:rsidRPr="00653D9D" w:rsidRDefault="002C1A3B" w:rsidP="002C1A3B">
      <w:r w:rsidRPr="00653D9D">
        <w:t>There are no other measures (whether available to FSANZ or not) that would be more cost-effective than a food regulatory measure developed or varied as a result of the Proposal.</w:t>
      </w:r>
    </w:p>
    <w:p w14:paraId="314F9930" w14:textId="77777777" w:rsidR="002C1A3B" w:rsidRPr="00653D9D" w:rsidRDefault="002C1A3B" w:rsidP="002C1A3B">
      <w:pPr>
        <w:pStyle w:val="Heading4"/>
      </w:pPr>
      <w:r w:rsidRPr="00653D9D">
        <w:t>2.5.1.3</w:t>
      </w:r>
      <w:r w:rsidRPr="00653D9D">
        <w:tab/>
        <w:t>Any relevant New Zealand standards</w:t>
      </w:r>
    </w:p>
    <w:p w14:paraId="314F9931" w14:textId="7231D146" w:rsidR="002C1A3B" w:rsidRPr="00653D9D" w:rsidRDefault="002C1A3B" w:rsidP="002C1A3B">
      <w:pPr>
        <w:rPr>
          <w:lang w:bidi="ar-SA"/>
        </w:rPr>
      </w:pPr>
      <w:r w:rsidRPr="00653D9D">
        <w:rPr>
          <w:lang w:bidi="ar-SA"/>
        </w:rPr>
        <w:t xml:space="preserve">There are no relevant New Zealand </w:t>
      </w:r>
      <w:r w:rsidR="004B5FE2">
        <w:rPr>
          <w:lang w:bidi="ar-SA"/>
        </w:rPr>
        <w:t>s</w:t>
      </w:r>
      <w:r w:rsidRPr="00653D9D">
        <w:rPr>
          <w:lang w:bidi="ar-SA"/>
        </w:rPr>
        <w:t>tandards.</w:t>
      </w:r>
      <w:r w:rsidR="00E0193B" w:rsidRPr="00653D9D">
        <w:rPr>
          <w:lang w:bidi="ar-SA"/>
        </w:rPr>
        <w:t xml:space="preserve"> All standards are joint standards</w:t>
      </w:r>
      <w:r w:rsidR="000677A3" w:rsidRPr="00653D9D">
        <w:rPr>
          <w:lang w:bidi="ar-SA"/>
        </w:rPr>
        <w:t>.</w:t>
      </w:r>
    </w:p>
    <w:p w14:paraId="314F9932" w14:textId="77777777" w:rsidR="001F7F63" w:rsidRPr="00653D9D" w:rsidRDefault="002C1A3B" w:rsidP="005C62EE">
      <w:pPr>
        <w:pStyle w:val="Heading4"/>
      </w:pPr>
      <w:r w:rsidRPr="00653D9D">
        <w:t>2.5</w:t>
      </w:r>
      <w:bookmarkStart w:id="89" w:name="_Toc370223479"/>
      <w:bookmarkStart w:id="90" w:name="_Toc370225394"/>
      <w:bookmarkStart w:id="91" w:name="_Toc300761897"/>
      <w:bookmarkStart w:id="92" w:name="_Toc300933440"/>
      <w:r w:rsidR="005C62EE" w:rsidRPr="00653D9D">
        <w:t>.1.4</w:t>
      </w:r>
      <w:r w:rsidR="005C62EE" w:rsidRPr="00653D9D">
        <w:tab/>
        <w:t>Any other relevant matters</w:t>
      </w:r>
    </w:p>
    <w:p w14:paraId="314F9933" w14:textId="77777777" w:rsidR="001F7F63" w:rsidRPr="00653D9D" w:rsidRDefault="001F7F63" w:rsidP="001F7F63">
      <w:pPr>
        <w:rPr>
          <w:lang w:bidi="ar-SA"/>
        </w:rPr>
      </w:pPr>
      <w:r w:rsidRPr="00653D9D">
        <w:t>Other relevant matters are considered below</w:t>
      </w:r>
      <w:r w:rsidRPr="00653D9D">
        <w:rPr>
          <w:lang w:bidi="ar-SA"/>
        </w:rPr>
        <w:t>.</w:t>
      </w:r>
      <w:r w:rsidRPr="00653D9D">
        <w:t xml:space="preserve"> </w:t>
      </w:r>
    </w:p>
    <w:p w14:paraId="314F9934" w14:textId="77777777" w:rsidR="002C1A3B" w:rsidRPr="00653D9D" w:rsidRDefault="002C1A3B" w:rsidP="002C1A3B">
      <w:pPr>
        <w:pStyle w:val="Heading3"/>
      </w:pPr>
      <w:bookmarkStart w:id="93" w:name="_Toc471478810"/>
      <w:bookmarkStart w:id="94" w:name="_Toc471478947"/>
      <w:r w:rsidRPr="00653D9D">
        <w:t>2.5.2.</w:t>
      </w:r>
      <w:r w:rsidRPr="00653D9D">
        <w:tab/>
        <w:t>Subsection 18(1)</w:t>
      </w:r>
      <w:bookmarkEnd w:id="89"/>
      <w:bookmarkEnd w:id="90"/>
      <w:bookmarkEnd w:id="93"/>
      <w:bookmarkEnd w:id="94"/>
      <w:r w:rsidRPr="00653D9D">
        <w:t xml:space="preserve"> </w:t>
      </w:r>
      <w:bookmarkEnd w:id="91"/>
      <w:bookmarkEnd w:id="92"/>
    </w:p>
    <w:p w14:paraId="314F9935" w14:textId="77777777" w:rsidR="001C76CF" w:rsidRPr="00653D9D" w:rsidRDefault="002C1A3B" w:rsidP="001C76CF">
      <w:pPr>
        <w:ind w:right="-428"/>
      </w:pPr>
      <w:r w:rsidRPr="00653D9D">
        <w:rPr>
          <w:rFonts w:cs="Arial"/>
        </w:rPr>
        <w:t xml:space="preserve">FSANZ has also </w:t>
      </w:r>
      <w:r w:rsidRPr="00653D9D">
        <w:t>considered the three objectives in subsection 18(1) of the FSANZ Act during the assessment.</w:t>
      </w:r>
      <w:r w:rsidR="001C76CF" w:rsidRPr="00653D9D">
        <w:t xml:space="preserve"> FSANZ is satisfied that the proposed variations do not have any impact on measures in place for:</w:t>
      </w:r>
    </w:p>
    <w:p w14:paraId="314F9936" w14:textId="77777777" w:rsidR="001C76CF" w:rsidRPr="00653D9D" w:rsidRDefault="001C76CF" w:rsidP="001C76CF"/>
    <w:p w14:paraId="314F9937" w14:textId="77777777" w:rsidR="001C76CF" w:rsidRPr="00653D9D" w:rsidRDefault="001C76CF" w:rsidP="001C76CF">
      <w:pPr>
        <w:pStyle w:val="FSBullet1"/>
        <w:rPr>
          <w:lang w:eastAsia="en-AU"/>
        </w:rPr>
      </w:pPr>
      <w:r w:rsidRPr="00653D9D">
        <w:rPr>
          <w:lang w:eastAsia="en-AU"/>
        </w:rPr>
        <w:t>the protection of public health and safety</w:t>
      </w:r>
    </w:p>
    <w:p w14:paraId="314F9938" w14:textId="77777777" w:rsidR="001C76CF" w:rsidRPr="00653D9D" w:rsidRDefault="001C76CF" w:rsidP="001C76CF">
      <w:pPr>
        <w:pStyle w:val="FSBullet1"/>
        <w:rPr>
          <w:lang w:eastAsia="en-AU"/>
        </w:rPr>
      </w:pPr>
      <w:r w:rsidRPr="00653D9D">
        <w:rPr>
          <w:lang w:eastAsia="en-AU"/>
        </w:rPr>
        <w:t>the provision of adequate information relating to food to enable consumers to make informed choices</w:t>
      </w:r>
    </w:p>
    <w:p w14:paraId="314F9939" w14:textId="77777777" w:rsidR="001C76CF" w:rsidRPr="00653D9D" w:rsidRDefault="001C76CF" w:rsidP="001C76CF">
      <w:pPr>
        <w:pStyle w:val="FSBullet1"/>
        <w:rPr>
          <w:lang w:eastAsia="en-AU"/>
        </w:rPr>
      </w:pPr>
      <w:r w:rsidRPr="00653D9D">
        <w:rPr>
          <w:lang w:eastAsia="en-AU"/>
        </w:rPr>
        <w:t>the prevention of misleading or deceptive conduct</w:t>
      </w:r>
    </w:p>
    <w:p w14:paraId="314F993A" w14:textId="77777777" w:rsidR="002C1A3B" w:rsidRPr="00653D9D" w:rsidRDefault="002C1A3B" w:rsidP="002C1A3B">
      <w:pPr>
        <w:keepNext/>
        <w:spacing w:before="240" w:after="240"/>
        <w:ind w:left="851" w:hanging="851"/>
        <w:outlineLvl w:val="2"/>
        <w:rPr>
          <w:b/>
          <w:bCs/>
          <w:lang w:eastAsia="en-AU" w:bidi="ar-SA"/>
        </w:rPr>
      </w:pPr>
      <w:bookmarkStart w:id="95" w:name="_Toc300761901"/>
      <w:bookmarkStart w:id="96" w:name="_Toc300933444"/>
      <w:bookmarkStart w:id="97" w:name="_Toc370223480"/>
      <w:bookmarkStart w:id="98" w:name="_Toc370225395"/>
      <w:r w:rsidRPr="00653D9D">
        <w:rPr>
          <w:b/>
          <w:bCs/>
          <w:lang w:eastAsia="en-AU" w:bidi="ar-SA"/>
        </w:rPr>
        <w:t>2.5.3</w:t>
      </w:r>
      <w:r w:rsidRPr="00653D9D">
        <w:rPr>
          <w:b/>
          <w:bCs/>
          <w:lang w:eastAsia="en-AU" w:bidi="ar-SA"/>
        </w:rPr>
        <w:tab/>
        <w:t xml:space="preserve">Subsection 18(2) </w:t>
      </w:r>
      <w:bookmarkEnd w:id="95"/>
      <w:bookmarkEnd w:id="96"/>
      <w:r w:rsidRPr="00653D9D">
        <w:rPr>
          <w:b/>
          <w:bCs/>
          <w:lang w:eastAsia="en-AU" w:bidi="ar-SA"/>
        </w:rPr>
        <w:t>considerations</w:t>
      </w:r>
      <w:bookmarkEnd w:id="97"/>
      <w:bookmarkEnd w:id="98"/>
    </w:p>
    <w:p w14:paraId="314F993B" w14:textId="53DA13A7" w:rsidR="00557185" w:rsidRDefault="001C76CF" w:rsidP="001C76CF">
      <w:pPr>
        <w:rPr>
          <w:rFonts w:cs="Arial"/>
        </w:rPr>
      </w:pPr>
      <w:r w:rsidRPr="00653D9D">
        <w:rPr>
          <w:rFonts w:cs="Arial"/>
        </w:rPr>
        <w:t>FSANZ has also had regard to:</w:t>
      </w:r>
      <w:r w:rsidR="00557185">
        <w:rPr>
          <w:rFonts w:cs="Arial"/>
        </w:rPr>
        <w:br w:type="page"/>
      </w:r>
    </w:p>
    <w:p w14:paraId="314F993D" w14:textId="77777777" w:rsidR="001C76CF" w:rsidRPr="00653D9D" w:rsidRDefault="001C76CF" w:rsidP="001C76CF">
      <w:pPr>
        <w:pStyle w:val="FSBullet1"/>
      </w:pPr>
      <w:r w:rsidRPr="00653D9D">
        <w:lastRenderedPageBreak/>
        <w:t>the need for standards to be based on risk analysis using the best available scientific evidence</w:t>
      </w:r>
    </w:p>
    <w:p w14:paraId="314F993E" w14:textId="77777777" w:rsidR="001C76CF" w:rsidRPr="00653D9D" w:rsidRDefault="001C76CF" w:rsidP="001C76CF">
      <w:pPr>
        <w:pStyle w:val="FSBullet1"/>
      </w:pPr>
      <w:r w:rsidRPr="00653D9D">
        <w:t>the promotion of consistency between domestic and international food standards</w:t>
      </w:r>
    </w:p>
    <w:p w14:paraId="314F993F" w14:textId="77777777" w:rsidR="001C76CF" w:rsidRPr="00653D9D" w:rsidRDefault="001C76CF" w:rsidP="001C76CF">
      <w:pPr>
        <w:pStyle w:val="FSBullet1"/>
      </w:pPr>
      <w:r w:rsidRPr="00653D9D">
        <w:t>the desirability of an efficient and internationally competitive food industry</w:t>
      </w:r>
    </w:p>
    <w:p w14:paraId="314F9940" w14:textId="77777777" w:rsidR="001C76CF" w:rsidRPr="00653D9D" w:rsidRDefault="001C76CF" w:rsidP="001C76CF">
      <w:pPr>
        <w:pStyle w:val="FSBullet1"/>
      </w:pPr>
      <w:r w:rsidRPr="00653D9D">
        <w:t>the promotion of fair trading in food</w:t>
      </w:r>
    </w:p>
    <w:p w14:paraId="314F9941" w14:textId="7032464B" w:rsidR="001C76CF" w:rsidRPr="00653D9D" w:rsidRDefault="001C76CF" w:rsidP="001C76CF">
      <w:pPr>
        <w:pStyle w:val="FSBullet1"/>
      </w:pPr>
      <w:r w:rsidRPr="00653D9D">
        <w:t xml:space="preserve">any written policy guidelines formulated by the </w:t>
      </w:r>
      <w:r w:rsidR="00A017EB" w:rsidRPr="00653D9D">
        <w:t>Australia and New Zealand Ministerial Forum on Food Regulation.</w:t>
      </w:r>
    </w:p>
    <w:p w14:paraId="314F9942" w14:textId="77777777" w:rsidR="001C76CF" w:rsidRPr="00653D9D" w:rsidRDefault="001C76CF" w:rsidP="001C76CF">
      <w:pPr>
        <w:widowControl/>
        <w:rPr>
          <w:rFonts w:cs="Arial"/>
          <w:lang w:bidi="ar-SA"/>
        </w:rPr>
      </w:pPr>
    </w:p>
    <w:p w14:paraId="314F9943" w14:textId="77777777" w:rsidR="001C76CF" w:rsidRPr="00653D9D" w:rsidRDefault="001C76CF" w:rsidP="001C76CF">
      <w:pPr>
        <w:widowControl/>
        <w:rPr>
          <w:rFonts w:cs="Arial"/>
          <w:lang w:bidi="ar-SA"/>
        </w:rPr>
      </w:pPr>
      <w:r w:rsidRPr="00653D9D">
        <w:rPr>
          <w:rFonts w:cs="Arial"/>
          <w:lang w:bidi="ar-SA"/>
        </w:rPr>
        <w:t>In relation to the promotion of consistency between domestic and international food standards, several amendments update or include references to internationally recognised publications. The other issues are not relevant to this Proposal.</w:t>
      </w:r>
    </w:p>
    <w:p w14:paraId="314F9944" w14:textId="77777777" w:rsidR="0012388D" w:rsidRPr="00653D9D" w:rsidRDefault="00D15A08" w:rsidP="00D5047D">
      <w:pPr>
        <w:keepNext/>
        <w:spacing w:before="240"/>
        <w:rPr>
          <w:b/>
          <w:sz w:val="28"/>
          <w:szCs w:val="28"/>
        </w:rPr>
      </w:pPr>
      <w:bookmarkStart w:id="99" w:name="_Toc11735643"/>
      <w:bookmarkStart w:id="100" w:name="_Toc29883130"/>
      <w:bookmarkStart w:id="101" w:name="_Toc41906817"/>
      <w:bookmarkStart w:id="102" w:name="_Toc41907564"/>
      <w:bookmarkStart w:id="103" w:name="_Toc43112360"/>
      <w:bookmarkEnd w:id="84"/>
      <w:r w:rsidRPr="00653D9D">
        <w:rPr>
          <w:b/>
          <w:sz w:val="28"/>
          <w:szCs w:val="28"/>
        </w:rPr>
        <w:t>A</w:t>
      </w:r>
      <w:bookmarkEnd w:id="99"/>
      <w:bookmarkEnd w:id="100"/>
      <w:bookmarkEnd w:id="101"/>
      <w:bookmarkEnd w:id="102"/>
      <w:bookmarkEnd w:id="103"/>
      <w:r w:rsidR="00B21055" w:rsidRPr="00653D9D">
        <w:rPr>
          <w:b/>
          <w:sz w:val="28"/>
          <w:szCs w:val="28"/>
        </w:rPr>
        <w:t>ttachments</w:t>
      </w:r>
    </w:p>
    <w:p w14:paraId="314F9945" w14:textId="77777777" w:rsidR="006C22A7" w:rsidRPr="00653D9D" w:rsidRDefault="006C22A7" w:rsidP="00D5047D">
      <w:pPr>
        <w:keepNext/>
      </w:pPr>
    </w:p>
    <w:p w14:paraId="314F9946" w14:textId="05B69F6C" w:rsidR="00795D86" w:rsidRPr="00653D9D" w:rsidRDefault="00755F02" w:rsidP="00456BD5">
      <w:pPr>
        <w:ind w:left="567" w:hanging="567"/>
      </w:pPr>
      <w:r w:rsidRPr="00653D9D">
        <w:t>A.</w:t>
      </w:r>
      <w:r w:rsidRPr="00653D9D">
        <w:tab/>
      </w:r>
      <w:r w:rsidR="009A2699" w:rsidRPr="00653D9D">
        <w:t xml:space="preserve">Approved </w:t>
      </w:r>
      <w:r w:rsidR="00E47D3B" w:rsidRPr="00653D9D">
        <w:t xml:space="preserve">draft </w:t>
      </w:r>
      <w:r w:rsidR="000576EB" w:rsidRPr="00653D9D">
        <w:t>variation to the</w:t>
      </w:r>
      <w:r w:rsidR="005E06C0" w:rsidRPr="00653D9D">
        <w:t xml:space="preserve"> </w:t>
      </w:r>
      <w:r w:rsidR="000576EB" w:rsidRPr="00653D9D">
        <w:rPr>
          <w:i/>
        </w:rPr>
        <w:t>Australia New Zealand Food Standards Code</w:t>
      </w:r>
      <w:r w:rsidR="005E06C0" w:rsidRPr="00653D9D">
        <w:rPr>
          <w:i/>
        </w:rPr>
        <w:t xml:space="preserve"> </w:t>
      </w:r>
    </w:p>
    <w:p w14:paraId="314F9947" w14:textId="77777777" w:rsidR="00456BD5" w:rsidRPr="00653D9D" w:rsidRDefault="00456BD5" w:rsidP="00456BD5">
      <w:pPr>
        <w:ind w:left="567" w:hanging="567"/>
      </w:pPr>
      <w:r w:rsidRPr="00653D9D">
        <w:t>B</w:t>
      </w:r>
      <w:r w:rsidR="00755F02" w:rsidRPr="00653D9D">
        <w:t>.</w:t>
      </w:r>
      <w:r w:rsidR="00755F02" w:rsidRPr="00653D9D">
        <w:tab/>
      </w:r>
      <w:r w:rsidRPr="00653D9D">
        <w:t xml:space="preserve">Explanatory Statement </w:t>
      </w:r>
    </w:p>
    <w:p w14:paraId="314F9948" w14:textId="27A3E05B" w:rsidR="006C22A7" w:rsidRPr="00653D9D" w:rsidRDefault="00456BD5" w:rsidP="00E47D3B">
      <w:pPr>
        <w:ind w:left="567" w:hanging="567"/>
      </w:pPr>
      <w:r w:rsidRPr="00653D9D">
        <w:t>C.</w:t>
      </w:r>
      <w:r w:rsidRPr="00653D9D">
        <w:tab/>
      </w:r>
      <w:r w:rsidR="00E47D3B" w:rsidRPr="00653D9D">
        <w:t>D</w:t>
      </w:r>
      <w:r w:rsidR="001C76CF" w:rsidRPr="00653D9D">
        <w:t>raft variation</w:t>
      </w:r>
      <w:r w:rsidR="00E47D3B" w:rsidRPr="00653D9D">
        <w:t xml:space="preserve"> to the </w:t>
      </w:r>
      <w:r w:rsidR="00E47D3B" w:rsidRPr="00653D9D">
        <w:rPr>
          <w:i/>
        </w:rPr>
        <w:t xml:space="preserve">Australia New Zealand Food Standards Code </w:t>
      </w:r>
      <w:r w:rsidR="00E47D3B" w:rsidRPr="00653D9D">
        <w:t>(call for submissions)</w:t>
      </w:r>
    </w:p>
    <w:p w14:paraId="314F9949" w14:textId="4D13264B" w:rsidR="00456BD5" w:rsidRPr="00653D9D" w:rsidRDefault="003C4969" w:rsidP="00456BD5">
      <w:pPr>
        <w:pStyle w:val="Heading2"/>
        <w:ind w:left="0" w:firstLine="0"/>
      </w:pPr>
      <w:r w:rsidRPr="00653D9D">
        <w:br w:type="page"/>
      </w:r>
      <w:bookmarkStart w:id="104" w:name="_Toc29883131"/>
      <w:bookmarkStart w:id="105" w:name="_Toc41906818"/>
      <w:bookmarkStart w:id="106" w:name="_Toc41907565"/>
      <w:bookmarkStart w:id="107" w:name="_Toc120358596"/>
      <w:bookmarkStart w:id="108" w:name="_Toc175381458"/>
      <w:bookmarkStart w:id="109" w:name="_Toc11735644"/>
      <w:bookmarkStart w:id="110" w:name="_Toc471478811"/>
      <w:bookmarkStart w:id="111" w:name="_Toc471478948"/>
      <w:r w:rsidRPr="00653D9D">
        <w:lastRenderedPageBreak/>
        <w:t xml:space="preserve">Attachment </w:t>
      </w:r>
      <w:bookmarkEnd w:id="104"/>
      <w:bookmarkEnd w:id="105"/>
      <w:bookmarkEnd w:id="106"/>
      <w:bookmarkEnd w:id="107"/>
      <w:bookmarkEnd w:id="108"/>
      <w:r w:rsidR="00456B54" w:rsidRPr="00653D9D">
        <w:t>A</w:t>
      </w:r>
      <w:bookmarkStart w:id="112" w:name="_Toc120358597"/>
      <w:bookmarkStart w:id="113" w:name="_Toc175381459"/>
      <w:bookmarkEnd w:id="109"/>
      <w:r w:rsidR="00755F02" w:rsidRPr="00653D9D">
        <w:t xml:space="preserve"> –</w:t>
      </w:r>
      <w:bookmarkStart w:id="114" w:name="_Toc120358598"/>
      <w:bookmarkStart w:id="115" w:name="_Toc175381460"/>
      <w:bookmarkEnd w:id="112"/>
      <w:bookmarkEnd w:id="113"/>
      <w:r w:rsidR="005E06C0" w:rsidRPr="00653D9D">
        <w:t xml:space="preserve"> </w:t>
      </w:r>
      <w:r w:rsidR="00456BD5" w:rsidRPr="00653D9D">
        <w:t xml:space="preserve">Approved draft variation to the </w:t>
      </w:r>
      <w:r w:rsidR="00456BD5" w:rsidRPr="00653D9D">
        <w:rPr>
          <w:i/>
        </w:rPr>
        <w:t>Australia New Zealand Food Standards Code</w:t>
      </w:r>
      <w:bookmarkEnd w:id="110"/>
      <w:bookmarkEnd w:id="111"/>
      <w:r w:rsidR="00456BD5" w:rsidRPr="00653D9D">
        <w:rPr>
          <w:i/>
        </w:rPr>
        <w:t xml:space="preserve"> </w:t>
      </w:r>
    </w:p>
    <w:p w14:paraId="3E61F090" w14:textId="77777777" w:rsidR="002D2FC9" w:rsidRPr="00653D9D" w:rsidRDefault="002D2FC9" w:rsidP="002D2FC9">
      <w:pPr>
        <w:tabs>
          <w:tab w:val="left" w:pos="851"/>
        </w:tabs>
        <w:rPr>
          <w:noProof/>
          <w:sz w:val="20"/>
          <w:szCs w:val="20"/>
          <w:lang w:eastAsia="en-AU" w:bidi="ar-SA"/>
        </w:rPr>
      </w:pPr>
      <w:r w:rsidRPr="00653D9D">
        <w:rPr>
          <w:noProof/>
          <w:sz w:val="20"/>
          <w:szCs w:val="20"/>
          <w:lang w:eastAsia="en-GB" w:bidi="ar-SA"/>
        </w:rPr>
        <w:drawing>
          <wp:inline distT="0" distB="0" distL="0" distR="0" wp14:anchorId="34A5389C" wp14:editId="4179839A">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E5697EF" w14:textId="77777777" w:rsidR="002D2FC9" w:rsidRPr="00653D9D" w:rsidRDefault="002D2FC9" w:rsidP="002D2FC9">
      <w:pPr>
        <w:pBdr>
          <w:bottom w:val="single" w:sz="4" w:space="1" w:color="auto"/>
        </w:pBdr>
        <w:tabs>
          <w:tab w:val="left" w:pos="851"/>
        </w:tabs>
        <w:jc w:val="center"/>
        <w:rPr>
          <w:sz w:val="20"/>
          <w:szCs w:val="20"/>
          <w:lang w:bidi="ar-SA"/>
        </w:rPr>
      </w:pPr>
    </w:p>
    <w:p w14:paraId="6B0F7A92" w14:textId="7D7317BD" w:rsidR="002D2FC9" w:rsidRPr="00653D9D" w:rsidRDefault="002D2FC9" w:rsidP="002D2FC9">
      <w:pPr>
        <w:pBdr>
          <w:bottom w:val="single" w:sz="4" w:space="1" w:color="auto"/>
        </w:pBdr>
        <w:tabs>
          <w:tab w:val="left" w:pos="851"/>
        </w:tabs>
        <w:rPr>
          <w:b/>
          <w:sz w:val="20"/>
          <w:szCs w:val="20"/>
          <w:lang w:bidi="ar-SA"/>
        </w:rPr>
      </w:pPr>
      <w:r w:rsidRPr="00653D9D">
        <w:rPr>
          <w:b/>
          <w:sz w:val="20"/>
          <w:szCs w:val="20"/>
          <w:lang w:bidi="ar-SA"/>
        </w:rPr>
        <w:t xml:space="preserve">Food Standards (Proposal </w:t>
      </w:r>
      <w:r w:rsidR="00FF4AE4" w:rsidRPr="00653D9D">
        <w:rPr>
          <w:b/>
          <w:sz w:val="20"/>
          <w:szCs w:val="20"/>
          <w:lang w:bidi="ar-SA"/>
        </w:rPr>
        <w:t xml:space="preserve">P1045 </w:t>
      </w:r>
      <w:r w:rsidRPr="00653D9D">
        <w:rPr>
          <w:b/>
          <w:sz w:val="20"/>
          <w:szCs w:val="20"/>
          <w:lang w:bidi="ar-SA"/>
        </w:rPr>
        <w:t>– Code Revision (</w:t>
      </w:r>
      <w:r w:rsidR="00FF4AE4" w:rsidRPr="00653D9D">
        <w:rPr>
          <w:b/>
          <w:sz w:val="20"/>
          <w:szCs w:val="20"/>
          <w:lang w:bidi="ar-SA"/>
        </w:rPr>
        <w:t>2017</w:t>
      </w:r>
      <w:r w:rsidRPr="00653D9D">
        <w:rPr>
          <w:b/>
          <w:sz w:val="20"/>
          <w:szCs w:val="20"/>
          <w:lang w:bidi="ar-SA"/>
        </w:rPr>
        <w:t>)) Variation</w:t>
      </w:r>
    </w:p>
    <w:p w14:paraId="4BDE2F92" w14:textId="77777777" w:rsidR="002D2FC9" w:rsidRPr="00653D9D" w:rsidRDefault="002D2FC9" w:rsidP="002D2FC9">
      <w:pPr>
        <w:pBdr>
          <w:bottom w:val="single" w:sz="4" w:space="1" w:color="auto"/>
        </w:pBdr>
        <w:tabs>
          <w:tab w:val="left" w:pos="851"/>
        </w:tabs>
        <w:rPr>
          <w:b/>
          <w:sz w:val="20"/>
          <w:szCs w:val="20"/>
          <w:lang w:bidi="ar-SA"/>
        </w:rPr>
      </w:pPr>
    </w:p>
    <w:p w14:paraId="25D3C989" w14:textId="77777777" w:rsidR="002D2FC9" w:rsidRPr="00653D9D" w:rsidRDefault="002D2FC9" w:rsidP="002D2FC9">
      <w:pPr>
        <w:tabs>
          <w:tab w:val="left" w:pos="851"/>
        </w:tabs>
        <w:rPr>
          <w:sz w:val="20"/>
          <w:szCs w:val="20"/>
          <w:lang w:bidi="ar-SA"/>
        </w:rPr>
      </w:pPr>
    </w:p>
    <w:p w14:paraId="48E749E9" w14:textId="77777777" w:rsidR="002D2FC9" w:rsidRPr="00653D9D" w:rsidRDefault="002D2FC9" w:rsidP="002D2FC9">
      <w:pPr>
        <w:tabs>
          <w:tab w:val="left" w:pos="851"/>
        </w:tabs>
        <w:rPr>
          <w:sz w:val="20"/>
          <w:szCs w:val="20"/>
          <w:lang w:bidi="ar-SA"/>
        </w:rPr>
      </w:pPr>
      <w:r w:rsidRPr="00653D9D">
        <w:rPr>
          <w:sz w:val="20"/>
          <w:szCs w:val="20"/>
          <w:lang w:bidi="ar-SA"/>
        </w:rPr>
        <w:t xml:space="preserve">The Board of Food Standards Australia New Zealand gives notice of the making of this variation under section 92 of the </w:t>
      </w:r>
      <w:r w:rsidRPr="00653D9D">
        <w:rPr>
          <w:i/>
          <w:sz w:val="20"/>
          <w:szCs w:val="20"/>
          <w:lang w:bidi="ar-SA"/>
        </w:rPr>
        <w:t>Food Standards Australia New Zealand Act 1991</w:t>
      </w:r>
      <w:r w:rsidRPr="00653D9D">
        <w:rPr>
          <w:sz w:val="20"/>
          <w:szCs w:val="20"/>
          <w:lang w:bidi="ar-SA"/>
        </w:rPr>
        <w:t>.  The Standard commences on the date specified in clause 3 of this variation.</w:t>
      </w:r>
    </w:p>
    <w:p w14:paraId="6C0B51E0" w14:textId="77777777" w:rsidR="002D2FC9" w:rsidRPr="00653D9D" w:rsidRDefault="002D2FC9" w:rsidP="002D2FC9">
      <w:pPr>
        <w:tabs>
          <w:tab w:val="left" w:pos="851"/>
        </w:tabs>
        <w:rPr>
          <w:sz w:val="20"/>
          <w:szCs w:val="20"/>
          <w:lang w:bidi="ar-SA"/>
        </w:rPr>
      </w:pPr>
    </w:p>
    <w:p w14:paraId="0950DD3D" w14:textId="77777777" w:rsidR="002D2FC9" w:rsidRPr="00653D9D" w:rsidRDefault="002D2FC9" w:rsidP="002D2FC9">
      <w:pPr>
        <w:tabs>
          <w:tab w:val="left" w:pos="851"/>
        </w:tabs>
        <w:rPr>
          <w:sz w:val="20"/>
          <w:szCs w:val="20"/>
          <w:lang w:bidi="ar-SA"/>
        </w:rPr>
      </w:pPr>
      <w:r w:rsidRPr="00653D9D">
        <w:rPr>
          <w:sz w:val="20"/>
          <w:szCs w:val="20"/>
          <w:lang w:bidi="ar-SA"/>
        </w:rPr>
        <w:t xml:space="preserve">Dated </w:t>
      </w:r>
      <w:r w:rsidRPr="00D5047D">
        <w:rPr>
          <w:color w:val="FF0000"/>
          <w:sz w:val="20"/>
        </w:rPr>
        <w:t>[To be completed by Standards Management Officer]</w:t>
      </w:r>
    </w:p>
    <w:p w14:paraId="7E441EFC" w14:textId="77777777" w:rsidR="002D2FC9" w:rsidRPr="00653D9D" w:rsidRDefault="002D2FC9" w:rsidP="002D2FC9">
      <w:pPr>
        <w:tabs>
          <w:tab w:val="left" w:pos="851"/>
        </w:tabs>
        <w:rPr>
          <w:sz w:val="20"/>
          <w:szCs w:val="20"/>
          <w:lang w:bidi="ar-SA"/>
        </w:rPr>
      </w:pPr>
    </w:p>
    <w:p w14:paraId="1665A1BC" w14:textId="77777777" w:rsidR="002D2FC9" w:rsidRPr="00653D9D" w:rsidRDefault="002D2FC9" w:rsidP="002D2FC9">
      <w:pPr>
        <w:tabs>
          <w:tab w:val="left" w:pos="851"/>
        </w:tabs>
        <w:rPr>
          <w:sz w:val="20"/>
          <w:szCs w:val="20"/>
          <w:lang w:bidi="ar-SA"/>
        </w:rPr>
      </w:pPr>
    </w:p>
    <w:p w14:paraId="53FA6A42" w14:textId="77777777" w:rsidR="002D2FC9" w:rsidRPr="00653D9D" w:rsidRDefault="002D2FC9" w:rsidP="002D2FC9">
      <w:pPr>
        <w:tabs>
          <w:tab w:val="left" w:pos="851"/>
        </w:tabs>
        <w:rPr>
          <w:sz w:val="20"/>
          <w:szCs w:val="20"/>
          <w:lang w:bidi="ar-SA"/>
        </w:rPr>
      </w:pPr>
    </w:p>
    <w:p w14:paraId="48CB5253" w14:textId="77777777" w:rsidR="002D2FC9" w:rsidRPr="00653D9D" w:rsidRDefault="002D2FC9" w:rsidP="002D2FC9">
      <w:pPr>
        <w:tabs>
          <w:tab w:val="left" w:pos="851"/>
        </w:tabs>
        <w:rPr>
          <w:sz w:val="20"/>
          <w:szCs w:val="20"/>
          <w:lang w:bidi="ar-SA"/>
        </w:rPr>
      </w:pPr>
    </w:p>
    <w:p w14:paraId="3B2206A8" w14:textId="77777777" w:rsidR="002D2FC9" w:rsidRPr="00653D9D" w:rsidRDefault="002D2FC9" w:rsidP="002D2FC9">
      <w:pPr>
        <w:tabs>
          <w:tab w:val="left" w:pos="851"/>
        </w:tabs>
        <w:rPr>
          <w:sz w:val="20"/>
          <w:szCs w:val="20"/>
          <w:lang w:bidi="ar-SA"/>
        </w:rPr>
      </w:pPr>
    </w:p>
    <w:p w14:paraId="23661FF8" w14:textId="77777777" w:rsidR="002D2FC9" w:rsidRPr="00653D9D" w:rsidRDefault="002D2FC9" w:rsidP="002D2FC9">
      <w:pPr>
        <w:tabs>
          <w:tab w:val="left" w:pos="851"/>
        </w:tabs>
        <w:rPr>
          <w:sz w:val="20"/>
          <w:szCs w:val="20"/>
          <w:lang w:bidi="ar-SA"/>
        </w:rPr>
      </w:pPr>
      <w:r w:rsidRPr="00653D9D">
        <w:rPr>
          <w:sz w:val="20"/>
          <w:szCs w:val="20"/>
          <w:lang w:bidi="ar-SA"/>
        </w:rPr>
        <w:t>Standards Management Officer</w:t>
      </w:r>
    </w:p>
    <w:p w14:paraId="1FE524C5" w14:textId="77777777" w:rsidR="002D2FC9" w:rsidRPr="00653D9D" w:rsidRDefault="002D2FC9" w:rsidP="002D2FC9">
      <w:pPr>
        <w:tabs>
          <w:tab w:val="left" w:pos="851"/>
        </w:tabs>
        <w:rPr>
          <w:sz w:val="20"/>
          <w:szCs w:val="20"/>
          <w:lang w:bidi="ar-SA"/>
        </w:rPr>
      </w:pPr>
      <w:r w:rsidRPr="00653D9D">
        <w:rPr>
          <w:sz w:val="20"/>
          <w:szCs w:val="20"/>
          <w:lang w:bidi="ar-SA"/>
        </w:rPr>
        <w:t>Delegate of the Board of Food Standards Australia New Zealand</w:t>
      </w:r>
    </w:p>
    <w:p w14:paraId="34C04B78" w14:textId="77777777" w:rsidR="002D2FC9" w:rsidRPr="00653D9D" w:rsidRDefault="002D2FC9" w:rsidP="002D2FC9">
      <w:pPr>
        <w:tabs>
          <w:tab w:val="left" w:pos="851"/>
        </w:tabs>
        <w:rPr>
          <w:sz w:val="20"/>
          <w:szCs w:val="20"/>
          <w:lang w:bidi="ar-SA"/>
        </w:rPr>
      </w:pPr>
    </w:p>
    <w:p w14:paraId="501C1362" w14:textId="77777777" w:rsidR="002D2FC9" w:rsidRPr="00653D9D" w:rsidRDefault="002D2FC9" w:rsidP="002D2FC9">
      <w:pPr>
        <w:tabs>
          <w:tab w:val="left" w:pos="851"/>
        </w:tabs>
        <w:rPr>
          <w:sz w:val="20"/>
          <w:szCs w:val="20"/>
          <w:lang w:bidi="ar-SA"/>
        </w:rPr>
      </w:pPr>
    </w:p>
    <w:p w14:paraId="602079CE" w14:textId="77777777" w:rsidR="002D2FC9" w:rsidRPr="00653D9D" w:rsidRDefault="002D2FC9" w:rsidP="002D2FC9">
      <w:pPr>
        <w:tabs>
          <w:tab w:val="left" w:pos="851"/>
        </w:tabs>
        <w:rPr>
          <w:sz w:val="20"/>
          <w:szCs w:val="20"/>
          <w:lang w:bidi="ar-SA"/>
        </w:rPr>
      </w:pPr>
    </w:p>
    <w:p w14:paraId="58EDC08E" w14:textId="77777777" w:rsidR="002D2FC9" w:rsidRPr="00653D9D" w:rsidRDefault="002D2FC9" w:rsidP="002D2FC9">
      <w:pPr>
        <w:tabs>
          <w:tab w:val="left" w:pos="851"/>
        </w:tabs>
        <w:rPr>
          <w:sz w:val="20"/>
          <w:szCs w:val="20"/>
          <w:lang w:bidi="ar-SA"/>
        </w:rPr>
      </w:pPr>
    </w:p>
    <w:p w14:paraId="3400F6EE" w14:textId="77777777" w:rsidR="002D2FC9" w:rsidRPr="00653D9D" w:rsidRDefault="002D2FC9" w:rsidP="002D2FC9">
      <w:pPr>
        <w:tabs>
          <w:tab w:val="left" w:pos="851"/>
        </w:tabs>
        <w:rPr>
          <w:sz w:val="20"/>
          <w:szCs w:val="20"/>
          <w:lang w:bidi="ar-SA"/>
        </w:rPr>
      </w:pPr>
    </w:p>
    <w:p w14:paraId="240DDF28" w14:textId="77777777" w:rsidR="002D2FC9" w:rsidRPr="00653D9D" w:rsidRDefault="002D2FC9" w:rsidP="002D2FC9">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653D9D">
        <w:rPr>
          <w:b/>
          <w:sz w:val="20"/>
          <w:szCs w:val="20"/>
          <w:lang w:bidi="ar-SA"/>
        </w:rPr>
        <w:t xml:space="preserve">Note:  </w:t>
      </w:r>
    </w:p>
    <w:p w14:paraId="4336BB14" w14:textId="77777777" w:rsidR="002D2FC9" w:rsidRPr="00653D9D" w:rsidRDefault="002D2FC9" w:rsidP="002D2FC9">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25B3B4ED" w14:textId="77777777" w:rsidR="002D2FC9" w:rsidRPr="00653D9D" w:rsidRDefault="002D2FC9" w:rsidP="002D2FC9">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653D9D">
        <w:rPr>
          <w:sz w:val="20"/>
          <w:szCs w:val="20"/>
          <w:lang w:bidi="ar-SA"/>
        </w:rPr>
        <w:t xml:space="preserve">This variation will be published in the Commonwealth of Australia Gazette No. FSC </w:t>
      </w:r>
      <w:r w:rsidRPr="00D5047D">
        <w:rPr>
          <w:color w:val="FF0000"/>
          <w:sz w:val="20"/>
        </w:rPr>
        <w:t>XX</w:t>
      </w:r>
      <w:r w:rsidRPr="00653D9D">
        <w:rPr>
          <w:sz w:val="20"/>
          <w:szCs w:val="20"/>
          <w:lang w:bidi="ar-SA"/>
        </w:rPr>
        <w:t xml:space="preserve"> on </w:t>
      </w:r>
      <w:r w:rsidRPr="00D5047D">
        <w:rPr>
          <w:color w:val="FF0000"/>
          <w:sz w:val="20"/>
        </w:rPr>
        <w:t>XX Month 20XX</w:t>
      </w:r>
      <w:r w:rsidRPr="00653D9D">
        <w:rPr>
          <w:sz w:val="20"/>
          <w:szCs w:val="20"/>
          <w:lang w:bidi="ar-SA"/>
        </w:rPr>
        <w:t xml:space="preserve">. This means that this date is the gazettal date for the purposes of clause 3 of the variation. </w:t>
      </w:r>
    </w:p>
    <w:p w14:paraId="7A30A696" w14:textId="77777777" w:rsidR="002D2FC9" w:rsidRPr="00653D9D" w:rsidRDefault="002D2FC9" w:rsidP="002D2FC9">
      <w:pPr>
        <w:tabs>
          <w:tab w:val="left" w:pos="851"/>
        </w:tabs>
        <w:rPr>
          <w:sz w:val="20"/>
          <w:szCs w:val="20"/>
          <w:lang w:bidi="ar-SA"/>
        </w:rPr>
      </w:pPr>
    </w:p>
    <w:p w14:paraId="3773B510" w14:textId="77777777" w:rsidR="002D2FC9" w:rsidRPr="00653D9D" w:rsidRDefault="002D2FC9" w:rsidP="002D2FC9">
      <w:pPr>
        <w:widowControl/>
        <w:rPr>
          <w:sz w:val="20"/>
          <w:szCs w:val="20"/>
          <w:lang w:bidi="ar-SA"/>
        </w:rPr>
      </w:pPr>
      <w:r w:rsidRPr="00653D9D">
        <w:rPr>
          <w:sz w:val="20"/>
          <w:szCs w:val="20"/>
          <w:lang w:bidi="ar-SA"/>
        </w:rPr>
        <w:br w:type="page"/>
      </w:r>
    </w:p>
    <w:p w14:paraId="39C8E9E7" w14:textId="77777777" w:rsidR="00BB3262" w:rsidRPr="00653D9D" w:rsidRDefault="00BB3262" w:rsidP="00BB3262">
      <w:pPr>
        <w:pStyle w:val="FSCDraftingitemheading"/>
      </w:pPr>
      <w:r w:rsidRPr="00653D9D">
        <w:lastRenderedPageBreak/>
        <w:t>1</w:t>
      </w:r>
      <w:r w:rsidRPr="00653D9D">
        <w:tab/>
        <w:t>Name</w:t>
      </w:r>
    </w:p>
    <w:p w14:paraId="6BC22872" w14:textId="77777777" w:rsidR="00BB3262" w:rsidRPr="00653D9D" w:rsidRDefault="00BB3262" w:rsidP="00BB3262">
      <w:pPr>
        <w:pStyle w:val="FSCDraftingitem"/>
      </w:pPr>
      <w:r w:rsidRPr="00653D9D">
        <w:t xml:space="preserve">This instrument is the </w:t>
      </w:r>
      <w:r w:rsidRPr="00653D9D">
        <w:rPr>
          <w:i/>
        </w:rPr>
        <w:t>Food Standards (Proposal P1045 – Code Revision (2017)) Variation</w:t>
      </w:r>
      <w:r w:rsidRPr="00653D9D">
        <w:t>.</w:t>
      </w:r>
    </w:p>
    <w:p w14:paraId="12967BFA" w14:textId="77777777" w:rsidR="00BB3262" w:rsidRPr="00653D9D" w:rsidRDefault="00BB3262" w:rsidP="00BB3262">
      <w:pPr>
        <w:pStyle w:val="FSCDraftingitemheading"/>
      </w:pPr>
      <w:r w:rsidRPr="00653D9D">
        <w:t>2</w:t>
      </w:r>
      <w:r w:rsidRPr="00653D9D">
        <w:tab/>
        <w:t>Variation to standards in the</w:t>
      </w:r>
      <w:r w:rsidRPr="00653D9D">
        <w:rPr>
          <w:i/>
        </w:rPr>
        <w:t xml:space="preserve"> Australia New Zealand Food Standards Code</w:t>
      </w:r>
    </w:p>
    <w:p w14:paraId="321EE224" w14:textId="77777777" w:rsidR="00BB3262" w:rsidRPr="00653D9D" w:rsidRDefault="00BB3262" w:rsidP="00BB3262">
      <w:pPr>
        <w:pStyle w:val="FSCDraftingitem"/>
      </w:pPr>
      <w:r w:rsidRPr="00653D9D">
        <w:t xml:space="preserve">The Schedule varies Standards in the </w:t>
      </w:r>
      <w:r w:rsidRPr="00653D9D">
        <w:rPr>
          <w:i/>
        </w:rPr>
        <w:t>Australia New Zealand Food Standards Code</w:t>
      </w:r>
      <w:r w:rsidRPr="00653D9D">
        <w:t>.</w:t>
      </w:r>
    </w:p>
    <w:p w14:paraId="65D63B05" w14:textId="77777777" w:rsidR="00BB3262" w:rsidRPr="00653D9D" w:rsidRDefault="00BB3262" w:rsidP="00BB3262">
      <w:pPr>
        <w:pStyle w:val="FSCDraftingitemheading"/>
      </w:pPr>
      <w:r w:rsidRPr="00653D9D">
        <w:t>3</w:t>
      </w:r>
      <w:r w:rsidRPr="00653D9D">
        <w:tab/>
        <w:t>Commencement</w:t>
      </w:r>
    </w:p>
    <w:p w14:paraId="66A314A4" w14:textId="316E7E56" w:rsidR="00BB3262" w:rsidRDefault="00BB3262" w:rsidP="00BB3262">
      <w:pPr>
        <w:pStyle w:val="FSCDraftingitem"/>
      </w:pPr>
      <w:r w:rsidRPr="00653D9D">
        <w:t xml:space="preserve">The variation commences on </w:t>
      </w:r>
      <w:r w:rsidR="001D4D87">
        <w:t xml:space="preserve">the date of </w:t>
      </w:r>
      <w:r w:rsidRPr="00653D9D">
        <w:t>gazettal.</w:t>
      </w:r>
    </w:p>
    <w:p w14:paraId="463BDA2E" w14:textId="77777777" w:rsidR="00664F84" w:rsidRPr="00653D9D" w:rsidRDefault="00664F84" w:rsidP="00BB3262">
      <w:pPr>
        <w:pStyle w:val="FSCDraftingitem"/>
      </w:pPr>
    </w:p>
    <w:p w14:paraId="195BD203" w14:textId="77777777" w:rsidR="00BB3262" w:rsidRPr="00653D9D" w:rsidRDefault="00BB3262" w:rsidP="00BB3262">
      <w:pPr>
        <w:pStyle w:val="FSCDraftingitemheading"/>
        <w:jc w:val="center"/>
      </w:pPr>
      <w:r w:rsidRPr="00653D9D">
        <w:t>SCHEDULE</w:t>
      </w:r>
    </w:p>
    <w:p w14:paraId="72948F49" w14:textId="152ED3A1" w:rsidR="00BB3262" w:rsidRPr="00653D9D" w:rsidRDefault="00BB3262" w:rsidP="00BB3262">
      <w:pPr>
        <w:pStyle w:val="FSCh5Section"/>
      </w:pPr>
      <w:r w:rsidRPr="00653D9D">
        <w:t xml:space="preserve">Standard 1.1.1 – Structure of the Code and general provisions </w:t>
      </w:r>
    </w:p>
    <w:p w14:paraId="4849C753" w14:textId="1D06C220" w:rsidR="00BB3262" w:rsidRPr="00653D9D" w:rsidRDefault="00BB3262" w:rsidP="00BB3262">
      <w:pPr>
        <w:pStyle w:val="FSCDraftingitemheading"/>
      </w:pPr>
      <w:r w:rsidRPr="00653D9D">
        <w:t>[1]</w:t>
      </w:r>
      <w:r w:rsidRPr="00653D9D">
        <w:tab/>
        <w:t>S</w:t>
      </w:r>
      <w:r w:rsidR="008E7102">
        <w:t>ubs</w:t>
      </w:r>
      <w:r w:rsidRPr="00653D9D">
        <w:t>ection 1.1.1—6(1)</w:t>
      </w:r>
    </w:p>
    <w:p w14:paraId="517092E5" w14:textId="77777777" w:rsidR="00BB3262" w:rsidRPr="00653D9D" w:rsidRDefault="00BB3262" w:rsidP="00BB3262">
      <w:pPr>
        <w:pStyle w:val="FSCDraftingitem"/>
      </w:pPr>
      <w:r w:rsidRPr="00653D9D">
        <w:tab/>
        <w:t>Omit ‘</w:t>
      </w:r>
      <w:r w:rsidRPr="00653D9D">
        <w:rPr>
          <w:b/>
          <w:i/>
        </w:rPr>
        <w:t>average quantity’</w:t>
      </w:r>
      <w:r w:rsidRPr="00653D9D">
        <w:t>, substitute ‘*average quantity’</w:t>
      </w:r>
    </w:p>
    <w:p w14:paraId="66C02990" w14:textId="55AEF21F" w:rsidR="00BB3262" w:rsidRPr="00653D9D" w:rsidRDefault="00BB3262" w:rsidP="00BB3262">
      <w:pPr>
        <w:pStyle w:val="FSCDraftingitemheading"/>
      </w:pPr>
      <w:r w:rsidRPr="00653D9D">
        <w:t>[2]</w:t>
      </w:r>
      <w:r w:rsidRPr="00653D9D">
        <w:tab/>
        <w:t>S</w:t>
      </w:r>
      <w:r w:rsidR="008E7102">
        <w:t>ubs</w:t>
      </w:r>
      <w:r w:rsidRPr="00653D9D">
        <w:t>ection 1.1.1—6(2)</w:t>
      </w:r>
    </w:p>
    <w:p w14:paraId="7507795D" w14:textId="77777777" w:rsidR="00BB3262" w:rsidRPr="00653D9D" w:rsidRDefault="00BB3262" w:rsidP="00BB3262">
      <w:pPr>
        <w:pStyle w:val="FSCDraftingitem"/>
      </w:pPr>
      <w:r w:rsidRPr="00653D9D">
        <w:tab/>
        <w:t>Omit ‘average quantity’ (first appearing), substitute ‘*average quantity’</w:t>
      </w:r>
    </w:p>
    <w:p w14:paraId="3AC7CEE2" w14:textId="77777777" w:rsidR="00BB3262" w:rsidRPr="00653D9D" w:rsidRDefault="00BB3262" w:rsidP="00BB3262">
      <w:pPr>
        <w:pStyle w:val="FSCDraftingitemheading"/>
      </w:pPr>
      <w:r w:rsidRPr="00653D9D">
        <w:t>[3]</w:t>
      </w:r>
      <w:r w:rsidRPr="00653D9D">
        <w:tab/>
        <w:t>Section 1.1.1—11</w:t>
      </w:r>
    </w:p>
    <w:p w14:paraId="1E5895BC" w14:textId="77777777" w:rsidR="00BB3262" w:rsidRPr="00653D9D" w:rsidRDefault="00BB3262" w:rsidP="00BB3262">
      <w:pPr>
        <w:pStyle w:val="FSCDraftingitem"/>
      </w:pPr>
      <w:r w:rsidRPr="00653D9D">
        <w:tab/>
        <w:t>Omit ‘lot’, substitute ‘*lot’</w:t>
      </w:r>
    </w:p>
    <w:p w14:paraId="47751AC6" w14:textId="77777777" w:rsidR="00BB3262" w:rsidRPr="00653D9D" w:rsidRDefault="00BB3262" w:rsidP="00BB3262">
      <w:pPr>
        <w:rPr>
          <w:b/>
        </w:rPr>
      </w:pPr>
      <w:r w:rsidRPr="00653D9D">
        <w:rPr>
          <w:b/>
        </w:rPr>
        <w:t>Standard 1.1.2 – Definitions used throughout the Code</w:t>
      </w:r>
    </w:p>
    <w:p w14:paraId="0F11C234" w14:textId="3BD4C9F7" w:rsidR="00E14C91" w:rsidRPr="00653D9D" w:rsidRDefault="00BB3262" w:rsidP="00BB3262">
      <w:pPr>
        <w:pStyle w:val="FSCDraftingitemheading"/>
      </w:pPr>
      <w:r w:rsidRPr="00653D9D">
        <w:t>[4]</w:t>
      </w:r>
      <w:r w:rsidRPr="00653D9D">
        <w:tab/>
      </w:r>
      <w:r w:rsidR="006825BC">
        <w:t>Subsection</w:t>
      </w:r>
      <w:r w:rsidR="00196F01">
        <w:t xml:space="preserve"> 1.1.2</w:t>
      </w:r>
      <w:r w:rsidR="00E14C91" w:rsidRPr="00653D9D">
        <w:t>—9(1)</w:t>
      </w:r>
    </w:p>
    <w:p w14:paraId="29D991ED" w14:textId="6D54EEB5" w:rsidR="00E14C91" w:rsidRPr="00653D9D" w:rsidRDefault="00E14C91" w:rsidP="00240FD8">
      <w:pPr>
        <w:pStyle w:val="FSCDraftingitem"/>
      </w:pPr>
      <w:r w:rsidRPr="00653D9D">
        <w:tab/>
        <w:t xml:space="preserve">Omit the </w:t>
      </w:r>
      <w:r w:rsidR="006825BC">
        <w:t>subsection</w:t>
      </w:r>
      <w:r w:rsidRPr="00653D9D">
        <w:t>, substitute</w:t>
      </w:r>
    </w:p>
    <w:p w14:paraId="56755520" w14:textId="375EC60B" w:rsidR="00E14C91" w:rsidRPr="00653D9D" w:rsidRDefault="00E14C91">
      <w:pPr>
        <w:pStyle w:val="FSCtMain"/>
      </w:pPr>
      <w:r w:rsidRPr="00653D9D">
        <w:tab/>
        <w:t>(1)</w:t>
      </w:r>
      <w:r w:rsidRPr="00653D9D">
        <w:tab/>
        <w:t>In this Code:</w:t>
      </w:r>
    </w:p>
    <w:p w14:paraId="6E4F93CC" w14:textId="77777777" w:rsidR="00E14C91" w:rsidRPr="00F149DB" w:rsidRDefault="00E14C91">
      <w:pPr>
        <w:pStyle w:val="FSCtDefn"/>
      </w:pPr>
      <w:r w:rsidRPr="00D5047D">
        <w:rPr>
          <w:b/>
          <w:i/>
        </w:rPr>
        <w:t>nutrition content claim</w:t>
      </w:r>
      <w:r w:rsidRPr="00F149DB">
        <w:t xml:space="preserve"> means a claim that:</w:t>
      </w:r>
    </w:p>
    <w:p w14:paraId="7DE5FDE1" w14:textId="49E0587B" w:rsidR="00E14C91" w:rsidRPr="00653D9D" w:rsidRDefault="00E14C91">
      <w:pPr>
        <w:pStyle w:val="FSCtPara"/>
      </w:pPr>
      <w:r w:rsidRPr="00653D9D">
        <w:tab/>
      </w:r>
      <w:r w:rsidRPr="00653D9D">
        <w:tab/>
        <w:t>(a)</w:t>
      </w:r>
      <w:r w:rsidRPr="00653D9D">
        <w:tab/>
        <w:t>is about:</w:t>
      </w:r>
    </w:p>
    <w:p w14:paraId="7B499BD8" w14:textId="3EAF4146" w:rsidR="00E14C91" w:rsidRPr="00653D9D" w:rsidRDefault="00E14C91">
      <w:pPr>
        <w:pStyle w:val="FSCtSubpara"/>
      </w:pPr>
      <w:r w:rsidRPr="00653D9D">
        <w:tab/>
      </w:r>
      <w:r w:rsidRPr="00653D9D">
        <w:tab/>
        <w:t>(i)</w:t>
      </w:r>
      <w:r w:rsidRPr="00653D9D">
        <w:tab/>
        <w:t>the presence or absence of any of the following:</w:t>
      </w:r>
    </w:p>
    <w:p w14:paraId="51EC9817" w14:textId="6467E50E" w:rsidR="00E14C91" w:rsidRPr="00653D9D" w:rsidRDefault="00E14C91">
      <w:pPr>
        <w:pStyle w:val="FSCtSubsub"/>
      </w:pPr>
      <w:r w:rsidRPr="00653D9D">
        <w:tab/>
      </w:r>
      <w:r w:rsidRPr="00653D9D">
        <w:tab/>
        <w:t>(A)</w:t>
      </w:r>
      <w:r w:rsidRPr="00653D9D">
        <w:tab/>
        <w:t>*biologically active substance;</w:t>
      </w:r>
    </w:p>
    <w:p w14:paraId="7C939679" w14:textId="00CB46FF" w:rsidR="00E14C91" w:rsidRPr="00653D9D" w:rsidRDefault="00E14C91">
      <w:pPr>
        <w:pStyle w:val="FSCtSubsub"/>
      </w:pPr>
      <w:r w:rsidRPr="00653D9D">
        <w:tab/>
      </w:r>
      <w:r w:rsidRPr="00653D9D">
        <w:tab/>
        <w:t>(B)</w:t>
      </w:r>
      <w:r w:rsidRPr="00653D9D">
        <w:tab/>
        <w:t>*dietary fibre;</w:t>
      </w:r>
    </w:p>
    <w:p w14:paraId="4500A448" w14:textId="116F5040" w:rsidR="00E14C91" w:rsidRPr="00653D9D" w:rsidRDefault="00E14C91">
      <w:pPr>
        <w:pStyle w:val="FSCtSubsub"/>
      </w:pPr>
      <w:r w:rsidRPr="00653D9D">
        <w:tab/>
      </w:r>
      <w:r w:rsidRPr="00653D9D">
        <w:tab/>
        <w:t>(C)</w:t>
      </w:r>
      <w:r w:rsidRPr="00653D9D">
        <w:tab/>
        <w:t>energy;</w:t>
      </w:r>
    </w:p>
    <w:p w14:paraId="44AB2F74" w14:textId="76664FC9" w:rsidR="00E14C91" w:rsidRPr="00653D9D" w:rsidRDefault="00E14C91">
      <w:pPr>
        <w:pStyle w:val="FSCtSubsub"/>
      </w:pPr>
      <w:r w:rsidRPr="00653D9D">
        <w:tab/>
      </w:r>
      <w:r w:rsidRPr="00653D9D">
        <w:tab/>
        <w:t>(D)</w:t>
      </w:r>
      <w:r w:rsidRPr="00653D9D">
        <w:tab/>
        <w:t>minerals;</w:t>
      </w:r>
    </w:p>
    <w:p w14:paraId="7648520C" w14:textId="7C36721F" w:rsidR="00E14C91" w:rsidRPr="00653D9D" w:rsidRDefault="00E14C91">
      <w:pPr>
        <w:pStyle w:val="FSCtSubsub"/>
      </w:pPr>
      <w:r w:rsidRPr="00653D9D">
        <w:tab/>
      </w:r>
      <w:r w:rsidRPr="00653D9D">
        <w:tab/>
        <w:t>(E)</w:t>
      </w:r>
      <w:r w:rsidRPr="00653D9D">
        <w:tab/>
        <w:t>potassium;</w:t>
      </w:r>
    </w:p>
    <w:p w14:paraId="4F809F8D" w14:textId="1C26D64B" w:rsidR="00E14C91" w:rsidRPr="00653D9D" w:rsidRDefault="00E14C91">
      <w:pPr>
        <w:pStyle w:val="FSCtSubsub"/>
      </w:pPr>
      <w:r w:rsidRPr="00653D9D">
        <w:tab/>
      </w:r>
      <w:r w:rsidR="00DB4DB9" w:rsidRPr="00653D9D">
        <w:tab/>
      </w:r>
      <w:r w:rsidRPr="00653D9D">
        <w:t>(F)</w:t>
      </w:r>
      <w:r w:rsidRPr="00653D9D">
        <w:tab/>
        <w:t>protein;</w:t>
      </w:r>
    </w:p>
    <w:p w14:paraId="1475D48B" w14:textId="4C908A10" w:rsidR="00E14C91" w:rsidRPr="00653D9D" w:rsidRDefault="00E14C91">
      <w:pPr>
        <w:pStyle w:val="FSCtSubsub"/>
      </w:pPr>
      <w:r w:rsidRPr="00653D9D">
        <w:tab/>
      </w:r>
      <w:r w:rsidR="00DB4DB9" w:rsidRPr="00653D9D">
        <w:tab/>
      </w:r>
      <w:r w:rsidRPr="00653D9D">
        <w:t>(G)</w:t>
      </w:r>
      <w:r w:rsidRPr="00653D9D">
        <w:tab/>
        <w:t>*carbohydrate;</w:t>
      </w:r>
    </w:p>
    <w:p w14:paraId="076796B1" w14:textId="79212B8E" w:rsidR="00E14C91" w:rsidRPr="00653D9D" w:rsidRDefault="00E14C91">
      <w:pPr>
        <w:pStyle w:val="FSCtSubsub"/>
      </w:pPr>
      <w:r w:rsidRPr="00653D9D">
        <w:tab/>
      </w:r>
      <w:r w:rsidR="00DB4DB9" w:rsidRPr="00653D9D">
        <w:tab/>
      </w:r>
      <w:r w:rsidRPr="00653D9D">
        <w:t>(H)</w:t>
      </w:r>
      <w:r w:rsidRPr="00653D9D">
        <w:tab/>
        <w:t>*fat;</w:t>
      </w:r>
    </w:p>
    <w:p w14:paraId="2C0CAEA3" w14:textId="4FC50DAA" w:rsidR="00E14C91" w:rsidRPr="00653D9D" w:rsidRDefault="00E14C91" w:rsidP="00D5047D">
      <w:pPr>
        <w:pStyle w:val="FSCtSubsub"/>
        <w:tabs>
          <w:tab w:val="clear" w:pos="2835"/>
          <w:tab w:val="left" w:pos="3402"/>
        </w:tabs>
        <w:ind w:left="3969" w:hanging="3969"/>
      </w:pPr>
      <w:r w:rsidRPr="00653D9D">
        <w:tab/>
        <w:t>(I)</w:t>
      </w:r>
      <w:r w:rsidRPr="00653D9D">
        <w:tab/>
        <w:t xml:space="preserve">the components of any one of protein, carbohydrate or </w:t>
      </w:r>
      <w:r w:rsidR="00F149DB">
        <w:tab/>
      </w:r>
      <w:r w:rsidRPr="00653D9D">
        <w:t>fat;</w:t>
      </w:r>
    </w:p>
    <w:p w14:paraId="7D946EBD" w14:textId="1E1FD75D" w:rsidR="00E14C91" w:rsidRPr="00653D9D" w:rsidRDefault="00E14C91">
      <w:pPr>
        <w:pStyle w:val="FSCtSubsub"/>
      </w:pPr>
      <w:r w:rsidRPr="00653D9D">
        <w:tab/>
      </w:r>
      <w:r w:rsidR="00DB4DB9" w:rsidRPr="00653D9D">
        <w:tab/>
      </w:r>
      <w:r w:rsidRPr="00653D9D">
        <w:t>(J)</w:t>
      </w:r>
      <w:r w:rsidRPr="00653D9D">
        <w:tab/>
      </w:r>
      <w:r w:rsidR="00C96464">
        <w:t>*</w:t>
      </w:r>
      <w:r w:rsidRPr="00653D9D">
        <w:t>salt;</w:t>
      </w:r>
    </w:p>
    <w:p w14:paraId="42694C76" w14:textId="573374B7" w:rsidR="00E14C91" w:rsidRPr="00653D9D" w:rsidRDefault="00E14C91">
      <w:pPr>
        <w:pStyle w:val="FSCtSubsub"/>
      </w:pPr>
      <w:r w:rsidRPr="00653D9D">
        <w:tab/>
      </w:r>
      <w:r w:rsidR="00DB4DB9" w:rsidRPr="00653D9D">
        <w:tab/>
      </w:r>
      <w:r w:rsidRPr="00653D9D">
        <w:t>(K)</w:t>
      </w:r>
      <w:r w:rsidRPr="00653D9D">
        <w:tab/>
        <w:t>sodium;</w:t>
      </w:r>
    </w:p>
    <w:p w14:paraId="5CA711D3" w14:textId="407E5955" w:rsidR="00E14C91" w:rsidRPr="00653D9D" w:rsidRDefault="00E14C91">
      <w:pPr>
        <w:pStyle w:val="FSCtSubsub"/>
      </w:pPr>
      <w:r w:rsidRPr="00653D9D">
        <w:tab/>
      </w:r>
      <w:r w:rsidR="00DB4DB9" w:rsidRPr="00653D9D">
        <w:tab/>
      </w:r>
      <w:r w:rsidRPr="00653D9D">
        <w:t>(L)</w:t>
      </w:r>
      <w:r w:rsidRPr="00653D9D">
        <w:tab/>
        <w:t>vitamins; or</w:t>
      </w:r>
    </w:p>
    <w:p w14:paraId="1063A605" w14:textId="67355100" w:rsidR="00E14C91" w:rsidRPr="00653D9D" w:rsidRDefault="00E14C91">
      <w:pPr>
        <w:pStyle w:val="FSCtSubpara"/>
      </w:pPr>
      <w:r w:rsidRPr="00653D9D">
        <w:tab/>
      </w:r>
      <w:r w:rsidR="00DB4DB9" w:rsidRPr="00653D9D">
        <w:tab/>
      </w:r>
      <w:r w:rsidRPr="00653D9D">
        <w:t>(ii)</w:t>
      </w:r>
      <w:r w:rsidRPr="00653D9D">
        <w:tab/>
        <w:t>*glycaemic index or glycaemic load; and</w:t>
      </w:r>
    </w:p>
    <w:p w14:paraId="3C532314" w14:textId="6D65B4D5" w:rsidR="00DB4DB9" w:rsidRPr="00653D9D" w:rsidRDefault="00DB4DB9" w:rsidP="00DB4DB9">
      <w:pPr>
        <w:pStyle w:val="FSCtPara"/>
      </w:pPr>
      <w:r w:rsidRPr="00653D9D">
        <w:tab/>
      </w:r>
      <w:r w:rsidRPr="00653D9D">
        <w:tab/>
        <w:t>(b)</w:t>
      </w:r>
      <w:r w:rsidRPr="00653D9D">
        <w:tab/>
        <w:t>does not refer to the presence or absence of alcohol; and</w:t>
      </w:r>
    </w:p>
    <w:p w14:paraId="5C758730" w14:textId="5793A5A5" w:rsidR="00DB4DB9" w:rsidRPr="00653D9D" w:rsidRDefault="00DB4DB9" w:rsidP="00DB4DB9">
      <w:pPr>
        <w:pStyle w:val="FSCtPara"/>
      </w:pPr>
      <w:r w:rsidRPr="00653D9D">
        <w:tab/>
      </w:r>
      <w:r w:rsidRPr="00653D9D">
        <w:tab/>
        <w:t>(c)</w:t>
      </w:r>
      <w:r w:rsidRPr="00653D9D">
        <w:tab/>
        <w:t>is not a *health claim.</w:t>
      </w:r>
    </w:p>
    <w:p w14:paraId="7290F0B9" w14:textId="6C1924A2" w:rsidR="00BB3262" w:rsidRPr="00653D9D" w:rsidRDefault="00E14C91" w:rsidP="00BB3262">
      <w:pPr>
        <w:pStyle w:val="FSCDraftingitemheading"/>
      </w:pPr>
      <w:r w:rsidRPr="00653D9D">
        <w:t>[5]</w:t>
      </w:r>
      <w:r w:rsidRPr="00653D9D">
        <w:tab/>
      </w:r>
      <w:r w:rsidR="00BB3262" w:rsidRPr="00653D9D">
        <w:t>Paragraph 1.1.2—11(2)(a) Note</w:t>
      </w:r>
    </w:p>
    <w:p w14:paraId="3D6FDE65" w14:textId="77777777" w:rsidR="00BB3262" w:rsidRPr="00653D9D" w:rsidRDefault="00BB3262" w:rsidP="00BB3262">
      <w:pPr>
        <w:pStyle w:val="FSCDraftingitem"/>
        <w:rPr>
          <w:b/>
        </w:rPr>
      </w:pPr>
      <w:r w:rsidRPr="00653D9D">
        <w:tab/>
        <w:t>Omit ‘foods’</w:t>
      </w:r>
    </w:p>
    <w:p w14:paraId="198182A0" w14:textId="77777777" w:rsidR="009565CD" w:rsidRDefault="009565CD" w:rsidP="00BB3262">
      <w:pPr>
        <w:pStyle w:val="FSCh5Section"/>
      </w:pPr>
      <w:r>
        <w:br w:type="page"/>
      </w:r>
    </w:p>
    <w:p w14:paraId="07B3A5D5" w14:textId="0CC26AA2" w:rsidR="00BB3262" w:rsidRPr="00653D9D" w:rsidRDefault="00BB3262" w:rsidP="00BB3262">
      <w:pPr>
        <w:pStyle w:val="FSCh5Section"/>
      </w:pPr>
      <w:r w:rsidRPr="00653D9D">
        <w:lastRenderedPageBreak/>
        <w:t>Standard 1.2.1 – Requirements to have labels or otherwise provide information</w:t>
      </w:r>
    </w:p>
    <w:p w14:paraId="11ED8764" w14:textId="654DA5C9" w:rsidR="00BB3262" w:rsidRPr="00653D9D" w:rsidRDefault="00BB3262" w:rsidP="00BB3262">
      <w:pPr>
        <w:pStyle w:val="FSCDraftingitemheading"/>
      </w:pPr>
      <w:r w:rsidRPr="00653D9D">
        <w:t>[</w:t>
      </w:r>
      <w:r w:rsidR="00E14C91" w:rsidRPr="00653D9D">
        <w:t>6</w:t>
      </w:r>
      <w:r w:rsidRPr="00653D9D">
        <w:t>]</w:t>
      </w:r>
      <w:r w:rsidRPr="00653D9D">
        <w:tab/>
        <w:t>S</w:t>
      </w:r>
      <w:r w:rsidR="008E7102">
        <w:t>ubs</w:t>
      </w:r>
      <w:r w:rsidRPr="00653D9D">
        <w:t>ection 1.2.1—9(6)</w:t>
      </w:r>
      <w:r w:rsidR="006825BC">
        <w:t xml:space="preserve"> (heading)</w:t>
      </w:r>
    </w:p>
    <w:p w14:paraId="606FC4D8" w14:textId="0BE878C8" w:rsidR="005F196B" w:rsidRDefault="00BB3262" w:rsidP="00BB3262">
      <w:pPr>
        <w:pStyle w:val="FSCDraftingitem"/>
        <w:ind w:firstLine="851"/>
      </w:pPr>
      <w:r w:rsidRPr="00653D9D">
        <w:t>Omit ‘either accompany or’</w:t>
      </w:r>
    </w:p>
    <w:p w14:paraId="3ADF712E" w14:textId="77777777" w:rsidR="00BB3262" w:rsidRPr="00653D9D" w:rsidRDefault="00BB3262" w:rsidP="00BB3262">
      <w:pPr>
        <w:pStyle w:val="FSCh5Section"/>
      </w:pPr>
      <w:r w:rsidRPr="00653D9D">
        <w:t>Standard 1.2.7 – Nutrition, health and related claims</w:t>
      </w:r>
    </w:p>
    <w:p w14:paraId="2905BBF7" w14:textId="289DECC4" w:rsidR="00BB3262" w:rsidRPr="00653D9D" w:rsidRDefault="00BB3262" w:rsidP="00BB3262">
      <w:pPr>
        <w:pStyle w:val="FSCDraftingitemheading"/>
        <w:keepNext/>
      </w:pPr>
      <w:r w:rsidRPr="00653D9D">
        <w:t>[</w:t>
      </w:r>
      <w:r w:rsidR="00E14C91" w:rsidRPr="00653D9D">
        <w:t>7</w:t>
      </w:r>
      <w:r w:rsidRPr="00653D9D">
        <w:t>]</w:t>
      </w:r>
      <w:r w:rsidRPr="00653D9D">
        <w:tab/>
        <w:t>Section 1.2.7—17</w:t>
      </w:r>
      <w:r w:rsidR="006825BC">
        <w:t xml:space="preserve"> (heading)</w:t>
      </w:r>
    </w:p>
    <w:p w14:paraId="5C08CCCB" w14:textId="3970D245" w:rsidR="00BB3262" w:rsidRPr="00653D9D" w:rsidRDefault="00BB3262" w:rsidP="00BB3262">
      <w:pPr>
        <w:pStyle w:val="FSCDraftingitem"/>
      </w:pPr>
      <w:r w:rsidRPr="00653D9D">
        <w:tab/>
        <w:t xml:space="preserve">Omit the </w:t>
      </w:r>
      <w:r w:rsidR="006825BC">
        <w:t>heading</w:t>
      </w:r>
      <w:r w:rsidRPr="00653D9D">
        <w:t>, substitute</w:t>
      </w:r>
    </w:p>
    <w:p w14:paraId="58A56E52" w14:textId="77777777" w:rsidR="00BB3262" w:rsidRPr="00653D9D" w:rsidRDefault="00BB3262" w:rsidP="00BB3262">
      <w:pPr>
        <w:pStyle w:val="FSCh5Section"/>
      </w:pPr>
      <w:r w:rsidRPr="00653D9D">
        <w:t xml:space="preserve">1.2.7—17 </w:t>
      </w:r>
      <w:r w:rsidRPr="00653D9D">
        <w:tab/>
        <w:t>Application or proposal to vary the table to section S4—5 taken to be a high level health claims variation</w:t>
      </w:r>
    </w:p>
    <w:p w14:paraId="5D86332D" w14:textId="7B8F31DA" w:rsidR="00BB3262" w:rsidRPr="00653D9D" w:rsidRDefault="00BB3262" w:rsidP="00BB3262">
      <w:pPr>
        <w:pStyle w:val="FSCDraftingitemheading"/>
      </w:pPr>
      <w:r w:rsidRPr="00653D9D">
        <w:t>[</w:t>
      </w:r>
      <w:r w:rsidR="00E14C91" w:rsidRPr="00653D9D">
        <w:t>8</w:t>
      </w:r>
      <w:r w:rsidRPr="00653D9D">
        <w:t>]</w:t>
      </w:r>
      <w:r w:rsidRPr="00653D9D">
        <w:tab/>
        <w:t>Subparagraph 1.2.7—18(1)(b)(i)</w:t>
      </w:r>
    </w:p>
    <w:p w14:paraId="00663B10" w14:textId="77777777" w:rsidR="00BB3262" w:rsidRPr="00653D9D" w:rsidRDefault="00BB3262" w:rsidP="00BB3262">
      <w:pPr>
        <w:pStyle w:val="FSCDraftingitem"/>
      </w:pPr>
      <w:r w:rsidRPr="00653D9D">
        <w:tab/>
        <w:t xml:space="preserve">Omit ‘high level health claim’, substitute ‘*high level health claim’ </w:t>
      </w:r>
    </w:p>
    <w:p w14:paraId="6CF495FF" w14:textId="5796BB56" w:rsidR="00BB3262" w:rsidRPr="00653D9D" w:rsidRDefault="00BB3262" w:rsidP="00BB3262">
      <w:pPr>
        <w:pStyle w:val="FSCDraftingitemheading"/>
      </w:pPr>
      <w:r w:rsidRPr="00653D9D">
        <w:t>[</w:t>
      </w:r>
      <w:r w:rsidR="00E14C91" w:rsidRPr="00653D9D">
        <w:t>9</w:t>
      </w:r>
      <w:r w:rsidRPr="00653D9D">
        <w:t>]</w:t>
      </w:r>
      <w:r w:rsidRPr="00653D9D">
        <w:tab/>
        <w:t>Subparagraph 1.2.7—18(1)(b)(ii)</w:t>
      </w:r>
    </w:p>
    <w:p w14:paraId="7E2B58E3" w14:textId="77777777" w:rsidR="00BB3262" w:rsidRPr="00653D9D" w:rsidRDefault="00BB3262" w:rsidP="00BB3262">
      <w:pPr>
        <w:pStyle w:val="FSCDraftingitem"/>
      </w:pPr>
      <w:r w:rsidRPr="00653D9D">
        <w:tab/>
        <w:t>Omit ‘general level health claim’, substitute ‘*general level health claim’</w:t>
      </w:r>
    </w:p>
    <w:p w14:paraId="5FFDF147" w14:textId="74475463" w:rsidR="00BB3262" w:rsidRPr="00653D9D" w:rsidRDefault="00BB3262" w:rsidP="00BB3262">
      <w:pPr>
        <w:pStyle w:val="FSCDraftingitemheading"/>
      </w:pPr>
      <w:r w:rsidRPr="00653D9D">
        <w:t>[</w:t>
      </w:r>
      <w:r w:rsidR="00E14C91" w:rsidRPr="00653D9D">
        <w:t>10</w:t>
      </w:r>
      <w:r w:rsidRPr="00653D9D">
        <w:t>]</w:t>
      </w:r>
      <w:r w:rsidRPr="00653D9D">
        <w:tab/>
        <w:t>S</w:t>
      </w:r>
      <w:r w:rsidR="008E7102">
        <w:t>ubs</w:t>
      </w:r>
      <w:r w:rsidRPr="00653D9D">
        <w:t>ection 1.2.7—18(2)</w:t>
      </w:r>
    </w:p>
    <w:p w14:paraId="2C1E1187" w14:textId="77777777" w:rsidR="00BB3262" w:rsidRPr="00653D9D" w:rsidRDefault="00BB3262" w:rsidP="00BB3262">
      <w:pPr>
        <w:pStyle w:val="FSCDraftingitem"/>
      </w:pPr>
      <w:r w:rsidRPr="00653D9D">
        <w:tab/>
        <w:t>Omit ‘high level health claims table’, substitute ‘*high level health claims table’</w:t>
      </w:r>
    </w:p>
    <w:p w14:paraId="18932EA1" w14:textId="5D1DD5C6" w:rsidR="00BB3262" w:rsidRPr="00653D9D" w:rsidRDefault="00BB3262" w:rsidP="00BB3262">
      <w:pPr>
        <w:pStyle w:val="FSCDraftingitemheading"/>
      </w:pPr>
      <w:r w:rsidRPr="00653D9D">
        <w:t>[1</w:t>
      </w:r>
      <w:r w:rsidR="00E14C91" w:rsidRPr="00653D9D">
        <w:t>1</w:t>
      </w:r>
      <w:r w:rsidRPr="00653D9D">
        <w:t>]</w:t>
      </w:r>
      <w:r w:rsidRPr="00653D9D">
        <w:tab/>
        <w:t>S</w:t>
      </w:r>
      <w:r w:rsidR="008E7102">
        <w:t>ubs</w:t>
      </w:r>
      <w:r w:rsidRPr="00653D9D">
        <w:t>ection 1.2.7—18(4)</w:t>
      </w:r>
    </w:p>
    <w:p w14:paraId="61708E02" w14:textId="77777777" w:rsidR="00BB3262" w:rsidRPr="00653D9D" w:rsidRDefault="00BB3262" w:rsidP="00BB3262">
      <w:pPr>
        <w:pStyle w:val="FSCDraftingitem"/>
      </w:pPr>
      <w:r w:rsidRPr="00653D9D">
        <w:tab/>
        <w:t>Omit ‘special purpose food’, substitute ‘*special purpose food’</w:t>
      </w:r>
    </w:p>
    <w:p w14:paraId="3604D36B" w14:textId="7287A4E9" w:rsidR="00BB3262" w:rsidRPr="00653D9D" w:rsidRDefault="00BB3262" w:rsidP="00BB3262">
      <w:pPr>
        <w:pStyle w:val="FSCDraftingitemheading"/>
      </w:pPr>
      <w:r w:rsidRPr="00653D9D">
        <w:t>[1</w:t>
      </w:r>
      <w:r w:rsidR="00E14C91" w:rsidRPr="00653D9D">
        <w:t>2</w:t>
      </w:r>
      <w:r w:rsidRPr="00653D9D">
        <w:t>]</w:t>
      </w:r>
      <w:r w:rsidRPr="00653D9D">
        <w:tab/>
      </w:r>
      <w:r w:rsidR="008E7102">
        <w:t>Paragraph</w:t>
      </w:r>
      <w:r w:rsidR="008E7102" w:rsidRPr="00653D9D">
        <w:t xml:space="preserve"> </w:t>
      </w:r>
      <w:r w:rsidRPr="00653D9D">
        <w:t>1.2.7—19(1)(d)</w:t>
      </w:r>
    </w:p>
    <w:p w14:paraId="722F90E7" w14:textId="77777777" w:rsidR="00BB3262" w:rsidRPr="00653D9D" w:rsidRDefault="00BB3262" w:rsidP="00BB3262">
      <w:pPr>
        <w:pStyle w:val="FSCDraftingitem"/>
      </w:pPr>
      <w:r w:rsidRPr="00653D9D">
        <w:tab/>
        <w:t>Omit ‘if requested by a relevant authority, provide records to the *relevant authority’, substitute ‘if requested by a *relevant authority, provide records to the relevant authority’</w:t>
      </w:r>
    </w:p>
    <w:p w14:paraId="25D6D060" w14:textId="77777777" w:rsidR="00BB3262" w:rsidRPr="00653D9D" w:rsidRDefault="00BB3262" w:rsidP="00BB3262">
      <w:pPr>
        <w:pStyle w:val="FSCh5Section"/>
        <w:keepLines/>
      </w:pPr>
      <w:r w:rsidRPr="00653D9D">
        <w:t>Standard 2.6.2 – Non-alcoholic beverages and brewed soft drinks</w:t>
      </w:r>
    </w:p>
    <w:p w14:paraId="3D04C047" w14:textId="420B5C29" w:rsidR="00BB3262" w:rsidRPr="00653D9D" w:rsidRDefault="00BB3262" w:rsidP="00BB3262">
      <w:pPr>
        <w:pStyle w:val="FSCDraftingitemheading"/>
        <w:keepNext/>
        <w:keepLines/>
      </w:pPr>
      <w:r w:rsidRPr="00653D9D">
        <w:t>[1</w:t>
      </w:r>
      <w:r w:rsidR="00E14C91" w:rsidRPr="00653D9D">
        <w:t>3</w:t>
      </w:r>
      <w:r w:rsidRPr="00653D9D">
        <w:t>]</w:t>
      </w:r>
      <w:r w:rsidRPr="00653D9D">
        <w:tab/>
      </w:r>
      <w:r w:rsidR="002A2D5A">
        <w:t>Paragraph</w:t>
      </w:r>
      <w:r w:rsidRPr="00653D9D">
        <w:t xml:space="preserve"> 2.6.2—3(3)(a)</w:t>
      </w:r>
    </w:p>
    <w:p w14:paraId="7A512F9E" w14:textId="77777777" w:rsidR="00BB3262" w:rsidRPr="00653D9D" w:rsidRDefault="00BB3262" w:rsidP="00BB3262">
      <w:pPr>
        <w:pStyle w:val="FSCDraftingitem"/>
      </w:pPr>
      <w:r w:rsidRPr="00653D9D">
        <w:tab/>
        <w:t>Omit ‘</w:t>
      </w:r>
      <w:r w:rsidRPr="00653D9D">
        <w:rPr>
          <w:i/>
        </w:rPr>
        <w:t>4</w:t>
      </w:r>
      <w:r w:rsidRPr="00653D9D">
        <w:rPr>
          <w:i/>
          <w:vertAlign w:val="superscript"/>
        </w:rPr>
        <w:t>th</w:t>
      </w:r>
      <w:r w:rsidRPr="00653D9D">
        <w:rPr>
          <w:i/>
        </w:rPr>
        <w:t xml:space="preserve"> edition, 2011</w:t>
      </w:r>
      <w:r w:rsidRPr="00653D9D">
        <w:t>’, substitute ‘</w:t>
      </w:r>
      <w:r w:rsidRPr="00653D9D">
        <w:rPr>
          <w:i/>
        </w:rPr>
        <w:t>4</w:t>
      </w:r>
      <w:r w:rsidRPr="00653D9D">
        <w:rPr>
          <w:i/>
          <w:vertAlign w:val="superscript"/>
        </w:rPr>
        <w:t>th</w:t>
      </w:r>
      <w:r w:rsidRPr="00653D9D">
        <w:rPr>
          <w:i/>
        </w:rPr>
        <w:t xml:space="preserve"> edition incorporating the first addendum, 2017</w:t>
      </w:r>
      <w:r w:rsidRPr="00653D9D">
        <w:t>’</w:t>
      </w:r>
    </w:p>
    <w:p w14:paraId="179CB9B6" w14:textId="77777777" w:rsidR="00BB3262" w:rsidRPr="00653D9D" w:rsidRDefault="00BB3262" w:rsidP="00BB3262">
      <w:pPr>
        <w:pStyle w:val="FSCh5Section"/>
      </w:pPr>
      <w:r w:rsidRPr="00653D9D">
        <w:t>Schedule 3</w:t>
      </w:r>
      <w:r w:rsidRPr="00653D9D">
        <w:tab/>
        <w:t>Identity and purity</w:t>
      </w:r>
    </w:p>
    <w:p w14:paraId="728D3196" w14:textId="2FABB329" w:rsidR="00BB3262" w:rsidRPr="00653D9D" w:rsidRDefault="00BB3262" w:rsidP="00BB3262">
      <w:pPr>
        <w:pStyle w:val="FSCDraftingitemheading"/>
      </w:pPr>
      <w:r w:rsidRPr="00653D9D">
        <w:t>[1</w:t>
      </w:r>
      <w:r w:rsidR="00E14C91" w:rsidRPr="00653D9D">
        <w:t>4</w:t>
      </w:r>
      <w:r w:rsidRPr="00653D9D">
        <w:t>]</w:t>
      </w:r>
      <w:r w:rsidRPr="00653D9D">
        <w:tab/>
        <w:t>Paragraph S3—2(1)(b)</w:t>
      </w:r>
    </w:p>
    <w:p w14:paraId="06965F2D" w14:textId="7449055E" w:rsidR="005F196B" w:rsidRDefault="00BB3262" w:rsidP="00BB3262">
      <w:pPr>
        <w:pStyle w:val="FSCDraftingitem"/>
      </w:pPr>
      <w:r w:rsidRPr="00653D9D">
        <w:tab/>
        <w:t xml:space="preserve">Omit </w:t>
      </w:r>
    </w:p>
    <w:p w14:paraId="7F5DA5C4" w14:textId="257D7E81" w:rsidR="005F196B" w:rsidRPr="00653D9D" w:rsidRDefault="005F196B" w:rsidP="005F196B">
      <w:pPr>
        <w:pStyle w:val="FSCtPara"/>
      </w:pPr>
      <w:r w:rsidRPr="00653D9D">
        <w:tab/>
        <w:t xml:space="preserve">(x) </w:t>
      </w:r>
      <w:r w:rsidRPr="00653D9D">
        <w:tab/>
        <w:t>FAO JECFA Monographs 17 (2015);</w:t>
      </w:r>
      <w:r>
        <w:t xml:space="preserve"> or</w:t>
      </w:r>
    </w:p>
    <w:p w14:paraId="2DB449B8" w14:textId="690A8726" w:rsidR="00BB3262" w:rsidRPr="00653D9D" w:rsidRDefault="005F196B" w:rsidP="00BB3262">
      <w:pPr>
        <w:pStyle w:val="FSCDraftingitem"/>
      </w:pPr>
      <w:r>
        <w:tab/>
      </w:r>
      <w:r w:rsidR="00BB3262" w:rsidRPr="00653D9D">
        <w:t xml:space="preserve">substitute </w:t>
      </w:r>
    </w:p>
    <w:p w14:paraId="787CE5D7" w14:textId="53EFABFF" w:rsidR="00BB3262" w:rsidRPr="00653D9D" w:rsidRDefault="00BB3262">
      <w:pPr>
        <w:pStyle w:val="FSCtPara"/>
      </w:pPr>
      <w:r w:rsidRPr="00653D9D">
        <w:tab/>
        <w:t xml:space="preserve">(x) </w:t>
      </w:r>
      <w:r w:rsidRPr="00653D9D">
        <w:tab/>
        <w:t>FAO JECFA Monographs 17 (2015);</w:t>
      </w:r>
    </w:p>
    <w:p w14:paraId="6A8A6CAD" w14:textId="2CA644C2" w:rsidR="00BB3262" w:rsidRPr="00653D9D" w:rsidRDefault="00BB3262" w:rsidP="00BB3262">
      <w:pPr>
        <w:pStyle w:val="FSCtPara"/>
      </w:pPr>
      <w:r w:rsidRPr="00653D9D">
        <w:tab/>
        <w:t>(xi)</w:t>
      </w:r>
      <w:r w:rsidRPr="00653D9D">
        <w:tab/>
        <w:t>FAO JECFA Monographs 19 (2016); or</w:t>
      </w:r>
    </w:p>
    <w:p w14:paraId="5B78278D" w14:textId="212EE5A8" w:rsidR="00BB3262" w:rsidRPr="00653D9D" w:rsidRDefault="00BB3262" w:rsidP="00BB3262">
      <w:pPr>
        <w:pStyle w:val="FSCDraftingitemheading"/>
      </w:pPr>
      <w:r w:rsidRPr="00653D9D">
        <w:t>[1</w:t>
      </w:r>
      <w:r w:rsidR="00E14C91" w:rsidRPr="00653D9D">
        <w:t>5</w:t>
      </w:r>
      <w:r w:rsidRPr="00653D9D">
        <w:t>]</w:t>
      </w:r>
      <w:r w:rsidRPr="00653D9D">
        <w:tab/>
        <w:t>Paragraph S3—3(j)</w:t>
      </w:r>
    </w:p>
    <w:p w14:paraId="2B922BFC" w14:textId="77777777" w:rsidR="00BB3262" w:rsidRPr="00653D9D" w:rsidRDefault="00BB3262" w:rsidP="00BB3262">
      <w:pPr>
        <w:pStyle w:val="FSCDraftingitem"/>
      </w:pPr>
      <w:r w:rsidRPr="00653D9D">
        <w:tab/>
        <w:t>Omit ‘(2016)’, substitute ‘(2017)’</w:t>
      </w:r>
    </w:p>
    <w:p w14:paraId="21AE1B45" w14:textId="77777777" w:rsidR="00BB3262" w:rsidRPr="00653D9D" w:rsidRDefault="00BB3262" w:rsidP="00BB3262">
      <w:pPr>
        <w:pStyle w:val="FSCh5Section"/>
      </w:pPr>
      <w:r w:rsidRPr="00653D9D">
        <w:t>Schedule 4 – Nutrition, health and related claims</w:t>
      </w:r>
    </w:p>
    <w:p w14:paraId="2F58ECCD" w14:textId="3602989D" w:rsidR="00BB3262" w:rsidRPr="00653D9D" w:rsidRDefault="00BB3262" w:rsidP="00BB3262">
      <w:pPr>
        <w:pStyle w:val="FSCDraftingitemheading"/>
      </w:pPr>
      <w:r w:rsidRPr="00653D9D">
        <w:t>[1</w:t>
      </w:r>
      <w:r w:rsidR="00E14C91" w:rsidRPr="00653D9D">
        <w:t>6</w:t>
      </w:r>
      <w:r w:rsidRPr="00653D9D">
        <w:t>]</w:t>
      </w:r>
      <w:r w:rsidRPr="00653D9D">
        <w:tab/>
        <w:t>Section S4—3</w:t>
      </w:r>
      <w:r w:rsidR="00266C33">
        <w:t xml:space="preserve"> (table)</w:t>
      </w:r>
    </w:p>
    <w:p w14:paraId="018139EF" w14:textId="01A88845" w:rsidR="00BB3262" w:rsidRPr="00653D9D" w:rsidRDefault="00BB3262" w:rsidP="00BB3262">
      <w:pPr>
        <w:pStyle w:val="FSCDraftingitem"/>
        <w:ind w:firstLine="851"/>
      </w:pPr>
      <w:r w:rsidRPr="00653D9D">
        <w:t xml:space="preserve">Insert, after the entry for </w:t>
      </w:r>
      <w:r w:rsidR="00676CEA">
        <w:t>‘M</w:t>
      </w:r>
      <w:r w:rsidRPr="00653D9D">
        <w:t>ono-unsaturated fatty acids</w:t>
      </w:r>
      <w:r w:rsidR="00676CEA">
        <w:t>’</w:t>
      </w: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19"/>
        <w:gridCol w:w="1559"/>
        <w:gridCol w:w="3152"/>
      </w:tblGrid>
      <w:tr w:rsidR="00BB3262" w:rsidRPr="00653D9D" w14:paraId="3D6267CA" w14:textId="77777777" w:rsidTr="00E14C91">
        <w:trPr>
          <w:cantSplit/>
        </w:trPr>
        <w:tc>
          <w:tcPr>
            <w:tcW w:w="1542" w:type="dxa"/>
            <w:tcBorders>
              <w:top w:val="single" w:sz="6" w:space="0" w:color="auto"/>
              <w:left w:val="nil"/>
              <w:bottom w:val="single" w:sz="6" w:space="0" w:color="auto"/>
              <w:right w:val="nil"/>
            </w:tcBorders>
            <w:hideMark/>
          </w:tcPr>
          <w:p w14:paraId="559847E9" w14:textId="77777777" w:rsidR="00BB3262" w:rsidRPr="00653D9D" w:rsidRDefault="00BB3262" w:rsidP="00E14C91">
            <w:pPr>
              <w:pStyle w:val="FSCtblMain"/>
            </w:pPr>
            <w:bookmarkStart w:id="116" w:name="_Toc465771723"/>
            <w:r w:rsidRPr="00653D9D">
              <w:t>Omega fatty acids (any)</w:t>
            </w:r>
          </w:p>
        </w:tc>
        <w:tc>
          <w:tcPr>
            <w:tcW w:w="2819" w:type="dxa"/>
            <w:tcBorders>
              <w:top w:val="single" w:sz="6" w:space="0" w:color="auto"/>
              <w:left w:val="nil"/>
              <w:bottom w:val="single" w:sz="6" w:space="0" w:color="auto"/>
              <w:right w:val="nil"/>
            </w:tcBorders>
            <w:hideMark/>
          </w:tcPr>
          <w:p w14:paraId="4E0B976D" w14:textId="76A4D5EB" w:rsidR="00BB3262" w:rsidRPr="00653D9D" w:rsidRDefault="00BB3262" w:rsidP="00E4092B">
            <w:pPr>
              <w:pStyle w:val="FSCtblMain"/>
            </w:pPr>
            <w:r w:rsidRPr="00653D9D">
              <w:t>The type of omega fatty acid is specified immediately after the word ‘omega’</w:t>
            </w:r>
            <w:r w:rsidR="00676CEA">
              <w:t>.</w:t>
            </w:r>
          </w:p>
        </w:tc>
        <w:tc>
          <w:tcPr>
            <w:tcW w:w="1559" w:type="dxa"/>
            <w:tcBorders>
              <w:top w:val="single" w:sz="6" w:space="0" w:color="auto"/>
              <w:left w:val="nil"/>
              <w:bottom w:val="single" w:sz="6" w:space="0" w:color="auto"/>
              <w:right w:val="nil"/>
            </w:tcBorders>
            <w:hideMark/>
          </w:tcPr>
          <w:p w14:paraId="2DBD177A" w14:textId="77777777" w:rsidR="00BB3262" w:rsidRPr="00653D9D" w:rsidRDefault="00BB3262" w:rsidP="00E14C91">
            <w:pPr>
              <w:pStyle w:val="FSCtblMain"/>
            </w:pPr>
          </w:p>
        </w:tc>
        <w:tc>
          <w:tcPr>
            <w:tcW w:w="3152" w:type="dxa"/>
            <w:tcBorders>
              <w:top w:val="single" w:sz="6" w:space="0" w:color="auto"/>
              <w:left w:val="nil"/>
              <w:bottom w:val="single" w:sz="6" w:space="0" w:color="auto"/>
              <w:right w:val="nil"/>
            </w:tcBorders>
          </w:tcPr>
          <w:p w14:paraId="4A3A65DB" w14:textId="77777777" w:rsidR="00BB3262" w:rsidRPr="00653D9D" w:rsidRDefault="00BB3262" w:rsidP="00E14C91">
            <w:pPr>
              <w:pStyle w:val="FSCtblPara"/>
            </w:pPr>
          </w:p>
        </w:tc>
      </w:tr>
      <w:bookmarkEnd w:id="116"/>
    </w:tbl>
    <w:p w14:paraId="777A8796" w14:textId="77777777" w:rsidR="009565CD" w:rsidRDefault="009565CD" w:rsidP="00BB3262">
      <w:pPr>
        <w:pStyle w:val="FSCh5Section"/>
      </w:pPr>
      <w:r>
        <w:br w:type="page"/>
      </w:r>
    </w:p>
    <w:p w14:paraId="03347313" w14:textId="57B936DC" w:rsidR="00BB3262" w:rsidRPr="00653D9D" w:rsidRDefault="00BB3262" w:rsidP="00BB3262">
      <w:pPr>
        <w:pStyle w:val="FSCh5Section"/>
      </w:pPr>
      <w:r w:rsidRPr="00653D9D">
        <w:lastRenderedPageBreak/>
        <w:t>Schedule 5 – Nutrient profile scoring method</w:t>
      </w:r>
    </w:p>
    <w:p w14:paraId="0E2F4658" w14:textId="08FDB7E1" w:rsidR="00BB3262" w:rsidRPr="00653D9D" w:rsidRDefault="00BB3262" w:rsidP="00BB3262">
      <w:pPr>
        <w:pStyle w:val="FSCDraftingitemheading"/>
      </w:pPr>
      <w:r w:rsidRPr="00653D9D">
        <w:t>[1</w:t>
      </w:r>
      <w:r w:rsidR="00E14C91" w:rsidRPr="00653D9D">
        <w:t>7</w:t>
      </w:r>
      <w:r w:rsidRPr="00653D9D">
        <w:t>]</w:t>
      </w:r>
      <w:r w:rsidRPr="00653D9D">
        <w:tab/>
        <w:t xml:space="preserve">Section S5—3 </w:t>
      </w:r>
    </w:p>
    <w:p w14:paraId="46AA586A" w14:textId="77777777" w:rsidR="00BB3262" w:rsidRPr="00653D9D" w:rsidRDefault="00BB3262" w:rsidP="00BB3262">
      <w:pPr>
        <w:pStyle w:val="FSCDraftingitem"/>
      </w:pPr>
      <w:r w:rsidRPr="00653D9D">
        <w:tab/>
        <w:t>Omit ‘(based on the units used in the nutrition information panel)’</w:t>
      </w:r>
    </w:p>
    <w:p w14:paraId="100EBF11" w14:textId="39805E9D" w:rsidR="00BB3262" w:rsidRPr="00653D9D" w:rsidRDefault="00BB3262" w:rsidP="00BB3262">
      <w:pPr>
        <w:pStyle w:val="FSCDraftingitemheading"/>
      </w:pPr>
      <w:r w:rsidRPr="00653D9D">
        <w:t>[1</w:t>
      </w:r>
      <w:r w:rsidR="00E14C91" w:rsidRPr="00653D9D">
        <w:t>8</w:t>
      </w:r>
      <w:r w:rsidRPr="00653D9D">
        <w:t>]</w:t>
      </w:r>
      <w:r w:rsidRPr="00653D9D">
        <w:tab/>
        <w:t xml:space="preserve">Section S5—5 </w:t>
      </w:r>
    </w:p>
    <w:p w14:paraId="20C49983" w14:textId="77777777" w:rsidR="00BB3262" w:rsidRPr="00653D9D" w:rsidRDefault="00BB3262" w:rsidP="00BB3262">
      <w:pPr>
        <w:pStyle w:val="FSCDraftingitem"/>
      </w:pPr>
      <w:r w:rsidRPr="00653D9D">
        <w:tab/>
        <w:t>Omit the section, substitute</w:t>
      </w:r>
    </w:p>
    <w:p w14:paraId="3142021E" w14:textId="0CBA7293" w:rsidR="00BB3262" w:rsidRPr="00653D9D" w:rsidRDefault="00BB3262" w:rsidP="00BB3262">
      <w:pPr>
        <w:pStyle w:val="FSCh5Section"/>
      </w:pPr>
      <w:r w:rsidRPr="00653D9D">
        <w:t>S5—</w:t>
      </w:r>
      <w:r w:rsidR="002D5D2C" w:rsidRPr="00653D9D">
        <w:t>5</w:t>
      </w:r>
      <w:r w:rsidR="002D5D2C">
        <w:tab/>
      </w:r>
      <w:r w:rsidRPr="00653D9D">
        <w:t>Protein points (P points)</w:t>
      </w:r>
    </w:p>
    <w:p w14:paraId="4C581655" w14:textId="50298697" w:rsidR="00BB3262" w:rsidRPr="00653D9D" w:rsidRDefault="002D5D2C" w:rsidP="00BB3262">
      <w:pPr>
        <w:pStyle w:val="FSCtMain"/>
        <w:rPr>
          <w:lang w:val="en-AU"/>
        </w:rPr>
      </w:pPr>
      <w:r>
        <w:tab/>
      </w:r>
      <w:r w:rsidR="00BB3262" w:rsidRPr="00653D9D">
        <w:t>(1</w:t>
      </w:r>
      <w:r w:rsidRPr="00653D9D">
        <w:t>)</w:t>
      </w:r>
      <w:r>
        <w:tab/>
      </w:r>
      <w:r w:rsidR="00BB3262" w:rsidRPr="00653D9D">
        <w:rPr>
          <w:lang w:val="en-AU"/>
        </w:rPr>
        <w:t>Use Table 4 to determine the ‘P points’ scored, depending on the *average quantity of protein in a *unit quantity of the food. A maximum of five points can be awarded.</w:t>
      </w:r>
    </w:p>
    <w:p w14:paraId="6A5DA81F" w14:textId="51387D99" w:rsidR="00BB3262" w:rsidRPr="00653D9D" w:rsidRDefault="002D5D2C" w:rsidP="00BB3262">
      <w:pPr>
        <w:pStyle w:val="FSCtMain"/>
      </w:pPr>
      <w:r>
        <w:tab/>
      </w:r>
      <w:r w:rsidR="00BB3262" w:rsidRPr="00653D9D">
        <w:t>(2</w:t>
      </w:r>
      <w:r w:rsidRPr="00653D9D">
        <w:t>)</w:t>
      </w:r>
      <w:r>
        <w:tab/>
      </w:r>
      <w:r w:rsidR="00BB3262" w:rsidRPr="00653D9D">
        <w:t>Foods that score ≥ 13 baseline points are not permitted to score points for protein unless they score five or more V points.</w:t>
      </w:r>
    </w:p>
    <w:p w14:paraId="2607A706" w14:textId="77777777" w:rsidR="00BB3262" w:rsidRPr="00653D9D" w:rsidRDefault="00BB3262" w:rsidP="00BB3262">
      <w:pPr>
        <w:pStyle w:val="FSCtblh2"/>
        <w:rPr>
          <w:color w:val="auto"/>
        </w:rPr>
      </w:pPr>
      <w:r w:rsidRPr="00653D9D">
        <w:rPr>
          <w:color w:val="auto"/>
        </w:rPr>
        <w:t>Table 4—P Points</w:t>
      </w:r>
    </w:p>
    <w:tbl>
      <w:tblPr>
        <w:tblW w:w="3402" w:type="dxa"/>
        <w:jc w:val="center"/>
        <w:tblCellMar>
          <w:left w:w="0" w:type="dxa"/>
          <w:right w:w="0" w:type="dxa"/>
        </w:tblCellMar>
        <w:tblLook w:val="04A0" w:firstRow="1" w:lastRow="0" w:firstColumn="1" w:lastColumn="0" w:noHBand="0" w:noVBand="1"/>
      </w:tblPr>
      <w:tblGrid>
        <w:gridCol w:w="1677"/>
        <w:gridCol w:w="1725"/>
      </w:tblGrid>
      <w:tr w:rsidR="00BB3262" w:rsidRPr="00653D9D" w14:paraId="054AA57E" w14:textId="77777777" w:rsidTr="00E14C91">
        <w:trPr>
          <w:jc w:val="center"/>
        </w:trPr>
        <w:tc>
          <w:tcPr>
            <w:tcW w:w="1677" w:type="dxa"/>
            <w:tcBorders>
              <w:top w:val="single" w:sz="8" w:space="0" w:color="auto"/>
              <w:left w:val="nil"/>
              <w:bottom w:val="single" w:sz="8" w:space="0" w:color="auto"/>
              <w:right w:val="nil"/>
            </w:tcBorders>
            <w:tcMar>
              <w:top w:w="0" w:type="dxa"/>
              <w:left w:w="108" w:type="dxa"/>
              <w:bottom w:w="0" w:type="dxa"/>
              <w:right w:w="108" w:type="dxa"/>
            </w:tcMar>
            <w:hideMark/>
          </w:tcPr>
          <w:p w14:paraId="0E9F4B07" w14:textId="77777777" w:rsidR="00BB3262" w:rsidRPr="00653D9D" w:rsidRDefault="00BB3262" w:rsidP="00E14C91">
            <w:pPr>
              <w:pStyle w:val="FSCtblh3"/>
              <w:rPr>
                <w:lang w:val="en-AU" w:eastAsia="en-US"/>
              </w:rPr>
            </w:pPr>
            <w:r w:rsidRPr="00653D9D">
              <w:rPr>
                <w:lang w:val="en-AU"/>
              </w:rPr>
              <w:t>Points</w:t>
            </w:r>
          </w:p>
        </w:tc>
        <w:tc>
          <w:tcPr>
            <w:tcW w:w="1725" w:type="dxa"/>
            <w:tcBorders>
              <w:top w:val="single" w:sz="8" w:space="0" w:color="auto"/>
              <w:left w:val="nil"/>
              <w:bottom w:val="single" w:sz="8" w:space="0" w:color="auto"/>
              <w:right w:val="nil"/>
            </w:tcBorders>
            <w:tcMar>
              <w:top w:w="0" w:type="dxa"/>
              <w:left w:w="108" w:type="dxa"/>
              <w:bottom w:w="0" w:type="dxa"/>
              <w:right w:w="108" w:type="dxa"/>
            </w:tcMar>
            <w:hideMark/>
          </w:tcPr>
          <w:p w14:paraId="100E07B7" w14:textId="77777777" w:rsidR="00BB3262" w:rsidRPr="00653D9D" w:rsidRDefault="00BB3262" w:rsidP="00E14C91">
            <w:pPr>
              <w:pStyle w:val="FSCtblh3"/>
              <w:rPr>
                <w:lang w:val="en-AU" w:eastAsia="en-US"/>
              </w:rPr>
            </w:pPr>
            <w:r w:rsidRPr="00653D9D">
              <w:rPr>
                <w:lang w:val="en-AU"/>
              </w:rPr>
              <w:t>Protein (g) per *unit quantity</w:t>
            </w:r>
          </w:p>
        </w:tc>
      </w:tr>
      <w:tr w:rsidR="00BB3262" w:rsidRPr="00653D9D" w14:paraId="395E1B96" w14:textId="77777777" w:rsidTr="00E14C91">
        <w:trPr>
          <w:jc w:val="center"/>
        </w:trPr>
        <w:tc>
          <w:tcPr>
            <w:tcW w:w="1677" w:type="dxa"/>
            <w:tcMar>
              <w:top w:w="0" w:type="dxa"/>
              <w:left w:w="108" w:type="dxa"/>
              <w:bottom w:w="0" w:type="dxa"/>
              <w:right w:w="108" w:type="dxa"/>
            </w:tcMar>
            <w:hideMark/>
          </w:tcPr>
          <w:p w14:paraId="1BBB741E" w14:textId="77777777" w:rsidR="00BB3262" w:rsidRPr="00653D9D" w:rsidRDefault="00BB3262" w:rsidP="00E14C91">
            <w:pPr>
              <w:pStyle w:val="FSCtblMain"/>
              <w:rPr>
                <w:lang w:val="en-AU" w:eastAsia="en-US"/>
              </w:rPr>
            </w:pPr>
            <w:r w:rsidRPr="00653D9D">
              <w:rPr>
                <w:lang w:val="en-AU"/>
              </w:rPr>
              <w:t>0</w:t>
            </w:r>
          </w:p>
        </w:tc>
        <w:tc>
          <w:tcPr>
            <w:tcW w:w="1725" w:type="dxa"/>
            <w:tcMar>
              <w:top w:w="0" w:type="dxa"/>
              <w:left w:w="108" w:type="dxa"/>
              <w:bottom w:w="0" w:type="dxa"/>
              <w:right w:w="108" w:type="dxa"/>
            </w:tcMar>
            <w:hideMark/>
          </w:tcPr>
          <w:p w14:paraId="01627639" w14:textId="77777777" w:rsidR="00BB3262" w:rsidRPr="00653D9D" w:rsidRDefault="00BB3262" w:rsidP="00E14C91">
            <w:pPr>
              <w:pStyle w:val="FSCtblMainC"/>
              <w:rPr>
                <w:lang w:val="en-AU"/>
              </w:rPr>
            </w:pPr>
            <w:r w:rsidRPr="00653D9D">
              <w:rPr>
                <w:lang w:val="en-AU"/>
              </w:rPr>
              <w:t>≤ 1.6</w:t>
            </w:r>
          </w:p>
        </w:tc>
      </w:tr>
      <w:tr w:rsidR="00BB3262" w:rsidRPr="00653D9D" w14:paraId="511ACB1C" w14:textId="77777777" w:rsidTr="00E14C91">
        <w:trPr>
          <w:jc w:val="center"/>
        </w:trPr>
        <w:tc>
          <w:tcPr>
            <w:tcW w:w="1677" w:type="dxa"/>
            <w:tcMar>
              <w:top w:w="0" w:type="dxa"/>
              <w:left w:w="108" w:type="dxa"/>
              <w:bottom w:w="0" w:type="dxa"/>
              <w:right w:w="108" w:type="dxa"/>
            </w:tcMar>
            <w:hideMark/>
          </w:tcPr>
          <w:p w14:paraId="6A5509C8" w14:textId="77777777" w:rsidR="00BB3262" w:rsidRPr="00653D9D" w:rsidRDefault="00BB3262" w:rsidP="00E14C91">
            <w:pPr>
              <w:pStyle w:val="FSCtblMain"/>
              <w:rPr>
                <w:lang w:val="en-AU" w:eastAsia="en-US"/>
              </w:rPr>
            </w:pPr>
            <w:r w:rsidRPr="00653D9D">
              <w:rPr>
                <w:lang w:val="en-AU"/>
              </w:rPr>
              <w:t>1</w:t>
            </w:r>
          </w:p>
        </w:tc>
        <w:tc>
          <w:tcPr>
            <w:tcW w:w="1725" w:type="dxa"/>
            <w:tcMar>
              <w:top w:w="0" w:type="dxa"/>
              <w:left w:w="108" w:type="dxa"/>
              <w:bottom w:w="0" w:type="dxa"/>
              <w:right w:w="108" w:type="dxa"/>
            </w:tcMar>
            <w:hideMark/>
          </w:tcPr>
          <w:p w14:paraId="5B651D1D" w14:textId="77777777" w:rsidR="00BB3262" w:rsidRPr="00653D9D" w:rsidRDefault="00BB3262" w:rsidP="00E14C91">
            <w:pPr>
              <w:pStyle w:val="FSCtblMainC"/>
              <w:rPr>
                <w:lang w:val="en-AU"/>
              </w:rPr>
            </w:pPr>
            <w:r w:rsidRPr="00653D9D">
              <w:rPr>
                <w:lang w:val="en-AU"/>
              </w:rPr>
              <w:t>&gt; 1.6</w:t>
            </w:r>
          </w:p>
        </w:tc>
      </w:tr>
      <w:tr w:rsidR="00BB3262" w:rsidRPr="00653D9D" w14:paraId="72CFAF0E" w14:textId="77777777" w:rsidTr="00E14C91">
        <w:trPr>
          <w:jc w:val="center"/>
        </w:trPr>
        <w:tc>
          <w:tcPr>
            <w:tcW w:w="1677" w:type="dxa"/>
            <w:tcMar>
              <w:top w:w="0" w:type="dxa"/>
              <w:left w:w="108" w:type="dxa"/>
              <w:bottom w:w="0" w:type="dxa"/>
              <w:right w:w="108" w:type="dxa"/>
            </w:tcMar>
            <w:hideMark/>
          </w:tcPr>
          <w:p w14:paraId="0BEEC864" w14:textId="77777777" w:rsidR="00BB3262" w:rsidRPr="00653D9D" w:rsidRDefault="00BB3262" w:rsidP="00E14C91">
            <w:pPr>
              <w:pStyle w:val="FSCtblMain"/>
              <w:rPr>
                <w:lang w:val="en-AU" w:eastAsia="en-US"/>
              </w:rPr>
            </w:pPr>
            <w:r w:rsidRPr="00653D9D">
              <w:rPr>
                <w:lang w:val="en-AU"/>
              </w:rPr>
              <w:t>2</w:t>
            </w:r>
          </w:p>
        </w:tc>
        <w:tc>
          <w:tcPr>
            <w:tcW w:w="1725" w:type="dxa"/>
            <w:tcMar>
              <w:top w:w="0" w:type="dxa"/>
              <w:left w:w="108" w:type="dxa"/>
              <w:bottom w:w="0" w:type="dxa"/>
              <w:right w:w="108" w:type="dxa"/>
            </w:tcMar>
            <w:hideMark/>
          </w:tcPr>
          <w:p w14:paraId="628A6849" w14:textId="77777777" w:rsidR="00BB3262" w:rsidRPr="00653D9D" w:rsidRDefault="00BB3262" w:rsidP="00E14C91">
            <w:pPr>
              <w:pStyle w:val="FSCtblMainC"/>
              <w:rPr>
                <w:lang w:val="en-AU"/>
              </w:rPr>
            </w:pPr>
            <w:r w:rsidRPr="00653D9D">
              <w:rPr>
                <w:lang w:val="en-AU"/>
              </w:rPr>
              <w:t>≥ 3.2</w:t>
            </w:r>
          </w:p>
        </w:tc>
      </w:tr>
      <w:tr w:rsidR="00BB3262" w:rsidRPr="00653D9D" w14:paraId="1F95D4EE" w14:textId="77777777" w:rsidTr="00E14C91">
        <w:trPr>
          <w:jc w:val="center"/>
        </w:trPr>
        <w:tc>
          <w:tcPr>
            <w:tcW w:w="1677" w:type="dxa"/>
            <w:tcMar>
              <w:top w:w="0" w:type="dxa"/>
              <w:left w:w="108" w:type="dxa"/>
              <w:bottom w:w="0" w:type="dxa"/>
              <w:right w:w="108" w:type="dxa"/>
            </w:tcMar>
            <w:hideMark/>
          </w:tcPr>
          <w:p w14:paraId="247B9390" w14:textId="77777777" w:rsidR="00BB3262" w:rsidRPr="00653D9D" w:rsidRDefault="00BB3262" w:rsidP="00E14C91">
            <w:pPr>
              <w:pStyle w:val="FSCtblMain"/>
              <w:rPr>
                <w:lang w:val="en-AU" w:eastAsia="en-US"/>
              </w:rPr>
            </w:pPr>
            <w:r w:rsidRPr="00653D9D">
              <w:rPr>
                <w:lang w:val="en-AU"/>
              </w:rPr>
              <w:t>3</w:t>
            </w:r>
          </w:p>
        </w:tc>
        <w:tc>
          <w:tcPr>
            <w:tcW w:w="1725" w:type="dxa"/>
            <w:tcMar>
              <w:top w:w="0" w:type="dxa"/>
              <w:left w:w="108" w:type="dxa"/>
              <w:bottom w:w="0" w:type="dxa"/>
              <w:right w:w="108" w:type="dxa"/>
            </w:tcMar>
            <w:hideMark/>
          </w:tcPr>
          <w:p w14:paraId="33D8CF4F" w14:textId="77777777" w:rsidR="00BB3262" w:rsidRPr="00653D9D" w:rsidRDefault="00BB3262" w:rsidP="00E14C91">
            <w:pPr>
              <w:pStyle w:val="FSCtblMainC"/>
              <w:rPr>
                <w:lang w:val="en-AU"/>
              </w:rPr>
            </w:pPr>
            <w:r w:rsidRPr="00653D9D">
              <w:rPr>
                <w:lang w:val="en-AU"/>
              </w:rPr>
              <w:t>&gt; 4.8</w:t>
            </w:r>
          </w:p>
        </w:tc>
      </w:tr>
      <w:tr w:rsidR="00BB3262" w:rsidRPr="00653D9D" w14:paraId="0D7B65C2" w14:textId="77777777" w:rsidTr="00E14C91">
        <w:trPr>
          <w:jc w:val="center"/>
        </w:trPr>
        <w:tc>
          <w:tcPr>
            <w:tcW w:w="1677" w:type="dxa"/>
            <w:tcMar>
              <w:top w:w="0" w:type="dxa"/>
              <w:left w:w="108" w:type="dxa"/>
              <w:bottom w:w="0" w:type="dxa"/>
              <w:right w:w="108" w:type="dxa"/>
            </w:tcMar>
            <w:hideMark/>
          </w:tcPr>
          <w:p w14:paraId="52167006" w14:textId="77777777" w:rsidR="00BB3262" w:rsidRPr="00653D9D" w:rsidRDefault="00BB3262" w:rsidP="00E14C91">
            <w:pPr>
              <w:pStyle w:val="FSCtblMain"/>
              <w:rPr>
                <w:lang w:val="en-AU" w:eastAsia="en-US"/>
              </w:rPr>
            </w:pPr>
            <w:r w:rsidRPr="00653D9D">
              <w:rPr>
                <w:lang w:val="en-AU"/>
              </w:rPr>
              <w:t>4</w:t>
            </w:r>
          </w:p>
        </w:tc>
        <w:tc>
          <w:tcPr>
            <w:tcW w:w="1725" w:type="dxa"/>
            <w:tcMar>
              <w:top w:w="0" w:type="dxa"/>
              <w:left w:w="108" w:type="dxa"/>
              <w:bottom w:w="0" w:type="dxa"/>
              <w:right w:w="108" w:type="dxa"/>
            </w:tcMar>
            <w:hideMark/>
          </w:tcPr>
          <w:p w14:paraId="41D46D8C" w14:textId="77777777" w:rsidR="00BB3262" w:rsidRPr="00653D9D" w:rsidRDefault="00BB3262" w:rsidP="00E14C91">
            <w:pPr>
              <w:pStyle w:val="FSCtblMainC"/>
              <w:rPr>
                <w:lang w:val="en-AU"/>
              </w:rPr>
            </w:pPr>
            <w:r w:rsidRPr="00653D9D">
              <w:rPr>
                <w:lang w:val="en-AU"/>
              </w:rPr>
              <w:t>&gt; 6.4</w:t>
            </w:r>
          </w:p>
        </w:tc>
      </w:tr>
      <w:tr w:rsidR="00BB3262" w:rsidRPr="00653D9D" w14:paraId="783A029A" w14:textId="77777777" w:rsidTr="00E14C91">
        <w:trPr>
          <w:jc w:val="center"/>
        </w:trPr>
        <w:tc>
          <w:tcPr>
            <w:tcW w:w="1677" w:type="dxa"/>
            <w:tcBorders>
              <w:top w:val="nil"/>
              <w:left w:val="nil"/>
              <w:bottom w:val="single" w:sz="8" w:space="0" w:color="auto"/>
              <w:right w:val="nil"/>
            </w:tcBorders>
            <w:tcMar>
              <w:top w:w="0" w:type="dxa"/>
              <w:left w:w="108" w:type="dxa"/>
              <w:bottom w:w="0" w:type="dxa"/>
              <w:right w:w="108" w:type="dxa"/>
            </w:tcMar>
            <w:hideMark/>
          </w:tcPr>
          <w:p w14:paraId="51FB8B68" w14:textId="77777777" w:rsidR="00BB3262" w:rsidRPr="00653D9D" w:rsidRDefault="00BB3262" w:rsidP="00E14C91">
            <w:pPr>
              <w:pStyle w:val="FSCtblMain"/>
              <w:rPr>
                <w:lang w:val="en-AU" w:eastAsia="en-US"/>
              </w:rPr>
            </w:pPr>
            <w:r w:rsidRPr="00653D9D">
              <w:rPr>
                <w:lang w:val="en-AU"/>
              </w:rPr>
              <w:t>5</w:t>
            </w:r>
          </w:p>
        </w:tc>
        <w:tc>
          <w:tcPr>
            <w:tcW w:w="1725" w:type="dxa"/>
            <w:tcBorders>
              <w:top w:val="nil"/>
              <w:left w:val="nil"/>
              <w:bottom w:val="single" w:sz="8" w:space="0" w:color="auto"/>
              <w:right w:val="nil"/>
            </w:tcBorders>
            <w:tcMar>
              <w:top w:w="0" w:type="dxa"/>
              <w:left w:w="108" w:type="dxa"/>
              <w:bottom w:w="0" w:type="dxa"/>
              <w:right w:w="108" w:type="dxa"/>
            </w:tcMar>
            <w:hideMark/>
          </w:tcPr>
          <w:p w14:paraId="3A1FFD02" w14:textId="77777777" w:rsidR="00BB3262" w:rsidRPr="00653D9D" w:rsidRDefault="00BB3262" w:rsidP="00E14C91">
            <w:pPr>
              <w:pStyle w:val="FSCtblMainC"/>
              <w:rPr>
                <w:lang w:val="en-AU"/>
              </w:rPr>
            </w:pPr>
            <w:r w:rsidRPr="00653D9D">
              <w:rPr>
                <w:lang w:val="en-AU"/>
              </w:rPr>
              <w:t>&gt; 8.0</w:t>
            </w:r>
          </w:p>
        </w:tc>
      </w:tr>
    </w:tbl>
    <w:p w14:paraId="6482B5B8" w14:textId="764D1DB1" w:rsidR="00BB3262" w:rsidRPr="00653D9D" w:rsidRDefault="00BB3262" w:rsidP="00BB3262">
      <w:pPr>
        <w:pStyle w:val="FSCDraftingitemheading"/>
      </w:pPr>
      <w:bookmarkStart w:id="117" w:name="_Ref346636476"/>
      <w:bookmarkStart w:id="118" w:name="_Ref346638115"/>
      <w:bookmarkStart w:id="119" w:name="_Toc371505813"/>
      <w:bookmarkStart w:id="120" w:name="_Toc400032436"/>
      <w:bookmarkEnd w:id="117"/>
      <w:bookmarkEnd w:id="118"/>
      <w:bookmarkEnd w:id="119"/>
      <w:r w:rsidRPr="00653D9D">
        <w:t>[1</w:t>
      </w:r>
      <w:r w:rsidR="00E14C91" w:rsidRPr="00653D9D">
        <w:t>9</w:t>
      </w:r>
      <w:r w:rsidRPr="00653D9D">
        <w:t xml:space="preserve">] </w:t>
      </w:r>
      <w:r w:rsidRPr="00653D9D">
        <w:tab/>
        <w:t xml:space="preserve">Section S5—6 </w:t>
      </w:r>
    </w:p>
    <w:p w14:paraId="058243B7" w14:textId="77777777" w:rsidR="00BB3262" w:rsidRPr="00653D9D" w:rsidRDefault="00BB3262" w:rsidP="00BB3262">
      <w:pPr>
        <w:pStyle w:val="FSCDraftingitem"/>
      </w:pPr>
      <w:r w:rsidRPr="00653D9D">
        <w:tab/>
        <w:t>Omit the section, substitute</w:t>
      </w:r>
    </w:p>
    <w:p w14:paraId="716C7E39" w14:textId="7F373630" w:rsidR="00BB3262" w:rsidRPr="00653D9D" w:rsidRDefault="00BB3262" w:rsidP="00BB3262">
      <w:pPr>
        <w:pStyle w:val="FSCh5Section"/>
        <w:rPr>
          <w:rFonts w:eastAsiaTheme="minorHAnsi" w:cs="Arial"/>
          <w:szCs w:val="22"/>
        </w:rPr>
      </w:pPr>
      <w:r w:rsidRPr="00653D9D">
        <w:t>S5—</w:t>
      </w:r>
      <w:r w:rsidR="002D5D2C" w:rsidRPr="00653D9D">
        <w:t>6</w:t>
      </w:r>
      <w:r w:rsidR="002D5D2C">
        <w:tab/>
      </w:r>
      <w:r w:rsidRPr="00653D9D">
        <w:t>Fibre points (F points)</w:t>
      </w:r>
      <w:bookmarkEnd w:id="120"/>
    </w:p>
    <w:p w14:paraId="6A333A21" w14:textId="5EAB2753" w:rsidR="00BB3262" w:rsidRPr="00653D9D" w:rsidRDefault="002D5D2C" w:rsidP="00BB3262">
      <w:pPr>
        <w:pStyle w:val="FSCtMain"/>
      </w:pPr>
      <w:r>
        <w:tab/>
      </w:r>
      <w:r w:rsidR="00BB3262" w:rsidRPr="00653D9D">
        <w:t>(1</w:t>
      </w:r>
      <w:r w:rsidRPr="00653D9D">
        <w:t>)</w:t>
      </w:r>
      <w:r>
        <w:tab/>
      </w:r>
      <w:r w:rsidR="00BB3262" w:rsidRPr="00653D9D">
        <w:rPr>
          <w:lang w:val="en-AU"/>
        </w:rPr>
        <w:t>Use Table 5 to determine the ‘F points’ scored, depending on the *average quantity of *dietary fibre in a *unit quantity of the food. A maximum of five points can be awarded.</w:t>
      </w:r>
    </w:p>
    <w:p w14:paraId="4A49F3B5" w14:textId="01057C2D" w:rsidR="00BB3262" w:rsidRPr="00653D9D" w:rsidRDefault="002D5D2C" w:rsidP="00BB3262">
      <w:pPr>
        <w:pStyle w:val="FSCtMain"/>
        <w:keepNext/>
      </w:pPr>
      <w:r>
        <w:tab/>
      </w:r>
      <w:r w:rsidR="00BB3262" w:rsidRPr="00653D9D">
        <w:t>(2</w:t>
      </w:r>
      <w:r w:rsidRPr="00653D9D">
        <w:t>)</w:t>
      </w:r>
      <w:r>
        <w:tab/>
      </w:r>
      <w:r w:rsidR="00BB3262" w:rsidRPr="00653D9D">
        <w:t>The prescribed method of analysis to determine total *dietary fibre is outlined in S11—4.</w:t>
      </w:r>
    </w:p>
    <w:p w14:paraId="121739ED" w14:textId="77777777" w:rsidR="00BB3262" w:rsidRPr="00653D9D" w:rsidRDefault="00BB3262" w:rsidP="00BB3262">
      <w:pPr>
        <w:pStyle w:val="FSCtblh2"/>
        <w:rPr>
          <w:color w:val="auto"/>
        </w:rPr>
      </w:pPr>
      <w:r w:rsidRPr="00653D9D">
        <w:rPr>
          <w:color w:val="auto"/>
        </w:rPr>
        <w:t>Table 5—F Points</w:t>
      </w:r>
    </w:p>
    <w:tbl>
      <w:tblPr>
        <w:tblW w:w="3402" w:type="dxa"/>
        <w:jc w:val="center"/>
        <w:tblCellMar>
          <w:left w:w="0" w:type="dxa"/>
          <w:right w:w="0" w:type="dxa"/>
        </w:tblCellMar>
        <w:tblLook w:val="04A0" w:firstRow="1" w:lastRow="0" w:firstColumn="1" w:lastColumn="0" w:noHBand="0" w:noVBand="1"/>
      </w:tblPr>
      <w:tblGrid>
        <w:gridCol w:w="1679"/>
        <w:gridCol w:w="1723"/>
      </w:tblGrid>
      <w:tr w:rsidR="00BB3262" w:rsidRPr="00653D9D" w14:paraId="12D85C87" w14:textId="77777777" w:rsidTr="00E14C91">
        <w:trPr>
          <w:jc w:val="center"/>
        </w:trPr>
        <w:tc>
          <w:tcPr>
            <w:tcW w:w="1939" w:type="dxa"/>
            <w:tcBorders>
              <w:top w:val="single" w:sz="8" w:space="0" w:color="auto"/>
              <w:left w:val="nil"/>
              <w:bottom w:val="single" w:sz="8" w:space="0" w:color="auto"/>
              <w:right w:val="nil"/>
            </w:tcBorders>
            <w:tcMar>
              <w:top w:w="0" w:type="dxa"/>
              <w:left w:w="108" w:type="dxa"/>
              <w:bottom w:w="0" w:type="dxa"/>
              <w:right w:w="108" w:type="dxa"/>
            </w:tcMar>
            <w:hideMark/>
          </w:tcPr>
          <w:p w14:paraId="20160467" w14:textId="77777777" w:rsidR="00BB3262" w:rsidRPr="00653D9D" w:rsidRDefault="00BB3262" w:rsidP="00E14C91">
            <w:pPr>
              <w:pStyle w:val="FSCtblh3"/>
              <w:rPr>
                <w:lang w:val="en-AU" w:eastAsia="en-US"/>
              </w:rPr>
            </w:pPr>
            <w:r w:rsidRPr="00653D9D">
              <w:rPr>
                <w:lang w:val="en-AU"/>
              </w:rPr>
              <w:t>Points</w:t>
            </w:r>
          </w:p>
        </w:tc>
        <w:tc>
          <w:tcPr>
            <w:tcW w:w="1953" w:type="dxa"/>
            <w:tcBorders>
              <w:top w:val="single" w:sz="8" w:space="0" w:color="auto"/>
              <w:left w:val="nil"/>
              <w:bottom w:val="single" w:sz="8" w:space="0" w:color="auto"/>
              <w:right w:val="nil"/>
            </w:tcBorders>
            <w:tcMar>
              <w:top w:w="0" w:type="dxa"/>
              <w:left w:w="108" w:type="dxa"/>
              <w:bottom w:w="0" w:type="dxa"/>
              <w:right w:w="108" w:type="dxa"/>
            </w:tcMar>
            <w:hideMark/>
          </w:tcPr>
          <w:p w14:paraId="07B3ABF4" w14:textId="77777777" w:rsidR="00BB3262" w:rsidRPr="00653D9D" w:rsidRDefault="00BB3262" w:rsidP="00E14C91">
            <w:pPr>
              <w:pStyle w:val="FSCtblh3"/>
              <w:rPr>
                <w:lang w:val="en-AU" w:eastAsia="en-US"/>
              </w:rPr>
            </w:pPr>
            <w:r w:rsidRPr="00653D9D">
              <w:rPr>
                <w:lang w:val="en-AU"/>
              </w:rPr>
              <w:t>Dietary fibre (g) per *unit quantity</w:t>
            </w:r>
          </w:p>
        </w:tc>
      </w:tr>
      <w:tr w:rsidR="00BB3262" w:rsidRPr="00653D9D" w14:paraId="39550958" w14:textId="77777777" w:rsidTr="00E14C91">
        <w:trPr>
          <w:jc w:val="center"/>
        </w:trPr>
        <w:tc>
          <w:tcPr>
            <w:tcW w:w="1939" w:type="dxa"/>
            <w:tcMar>
              <w:top w:w="0" w:type="dxa"/>
              <w:left w:w="108" w:type="dxa"/>
              <w:bottom w:w="0" w:type="dxa"/>
              <w:right w:w="108" w:type="dxa"/>
            </w:tcMar>
            <w:hideMark/>
          </w:tcPr>
          <w:p w14:paraId="116252F4" w14:textId="77777777" w:rsidR="00BB3262" w:rsidRPr="00653D9D" w:rsidRDefault="00BB3262" w:rsidP="00E14C91">
            <w:pPr>
              <w:pStyle w:val="FSCtblMain"/>
              <w:rPr>
                <w:lang w:val="en-AU" w:eastAsia="en-US"/>
              </w:rPr>
            </w:pPr>
            <w:r w:rsidRPr="00653D9D">
              <w:rPr>
                <w:lang w:val="en-AU"/>
              </w:rPr>
              <w:t>0</w:t>
            </w:r>
          </w:p>
        </w:tc>
        <w:tc>
          <w:tcPr>
            <w:tcW w:w="1953" w:type="dxa"/>
            <w:tcMar>
              <w:top w:w="0" w:type="dxa"/>
              <w:left w:w="108" w:type="dxa"/>
              <w:bottom w:w="0" w:type="dxa"/>
              <w:right w:w="108" w:type="dxa"/>
            </w:tcMar>
            <w:hideMark/>
          </w:tcPr>
          <w:p w14:paraId="04151F0E" w14:textId="77777777" w:rsidR="00BB3262" w:rsidRPr="00653D9D" w:rsidRDefault="00BB3262" w:rsidP="00E14C91">
            <w:pPr>
              <w:pStyle w:val="FSCtblMainC"/>
              <w:rPr>
                <w:lang w:val="en-AU"/>
              </w:rPr>
            </w:pPr>
            <w:r w:rsidRPr="00653D9D">
              <w:rPr>
                <w:lang w:val="en-AU"/>
              </w:rPr>
              <w:t>≤0.9</w:t>
            </w:r>
          </w:p>
        </w:tc>
      </w:tr>
      <w:tr w:rsidR="00BB3262" w:rsidRPr="00653D9D" w14:paraId="6AF10895" w14:textId="77777777" w:rsidTr="00E14C91">
        <w:trPr>
          <w:jc w:val="center"/>
        </w:trPr>
        <w:tc>
          <w:tcPr>
            <w:tcW w:w="1939" w:type="dxa"/>
            <w:tcMar>
              <w:top w:w="0" w:type="dxa"/>
              <w:left w:w="108" w:type="dxa"/>
              <w:bottom w:w="0" w:type="dxa"/>
              <w:right w:w="108" w:type="dxa"/>
            </w:tcMar>
            <w:hideMark/>
          </w:tcPr>
          <w:p w14:paraId="0E5443B9" w14:textId="77777777" w:rsidR="00BB3262" w:rsidRPr="00653D9D" w:rsidRDefault="00BB3262" w:rsidP="00E14C91">
            <w:pPr>
              <w:pStyle w:val="FSCtblMain"/>
              <w:rPr>
                <w:lang w:val="en-AU" w:eastAsia="en-US"/>
              </w:rPr>
            </w:pPr>
            <w:r w:rsidRPr="00653D9D">
              <w:rPr>
                <w:lang w:val="en-AU"/>
              </w:rPr>
              <w:t>1</w:t>
            </w:r>
          </w:p>
        </w:tc>
        <w:tc>
          <w:tcPr>
            <w:tcW w:w="1953" w:type="dxa"/>
            <w:tcMar>
              <w:top w:w="0" w:type="dxa"/>
              <w:left w:w="108" w:type="dxa"/>
              <w:bottom w:w="0" w:type="dxa"/>
              <w:right w:w="108" w:type="dxa"/>
            </w:tcMar>
            <w:hideMark/>
          </w:tcPr>
          <w:p w14:paraId="51B6C003" w14:textId="77777777" w:rsidR="00BB3262" w:rsidRPr="00653D9D" w:rsidRDefault="00BB3262" w:rsidP="00E14C91">
            <w:pPr>
              <w:pStyle w:val="FSCtblMainC"/>
              <w:rPr>
                <w:lang w:val="en-AU"/>
              </w:rPr>
            </w:pPr>
            <w:r w:rsidRPr="00653D9D">
              <w:rPr>
                <w:lang w:val="en-AU"/>
              </w:rPr>
              <w:t>&gt;0.9</w:t>
            </w:r>
          </w:p>
        </w:tc>
      </w:tr>
      <w:tr w:rsidR="00BB3262" w:rsidRPr="00653D9D" w14:paraId="4FDC407D" w14:textId="77777777" w:rsidTr="00E14C91">
        <w:trPr>
          <w:jc w:val="center"/>
        </w:trPr>
        <w:tc>
          <w:tcPr>
            <w:tcW w:w="1939" w:type="dxa"/>
            <w:tcMar>
              <w:top w:w="0" w:type="dxa"/>
              <w:left w:w="108" w:type="dxa"/>
              <w:bottom w:w="0" w:type="dxa"/>
              <w:right w:w="108" w:type="dxa"/>
            </w:tcMar>
            <w:hideMark/>
          </w:tcPr>
          <w:p w14:paraId="3BE31FA2" w14:textId="77777777" w:rsidR="00BB3262" w:rsidRPr="00653D9D" w:rsidRDefault="00BB3262" w:rsidP="00E14C91">
            <w:pPr>
              <w:pStyle w:val="FSCtblMain"/>
              <w:rPr>
                <w:lang w:val="en-AU" w:eastAsia="en-US"/>
              </w:rPr>
            </w:pPr>
            <w:r w:rsidRPr="00653D9D">
              <w:rPr>
                <w:lang w:val="en-AU"/>
              </w:rPr>
              <w:t>2</w:t>
            </w:r>
          </w:p>
        </w:tc>
        <w:tc>
          <w:tcPr>
            <w:tcW w:w="1953" w:type="dxa"/>
            <w:tcMar>
              <w:top w:w="0" w:type="dxa"/>
              <w:left w:w="108" w:type="dxa"/>
              <w:bottom w:w="0" w:type="dxa"/>
              <w:right w:w="108" w:type="dxa"/>
            </w:tcMar>
            <w:hideMark/>
          </w:tcPr>
          <w:p w14:paraId="13416C16" w14:textId="77777777" w:rsidR="00BB3262" w:rsidRPr="00653D9D" w:rsidRDefault="00BB3262" w:rsidP="00E14C91">
            <w:pPr>
              <w:pStyle w:val="FSCtblMainC"/>
              <w:rPr>
                <w:lang w:val="en-AU"/>
              </w:rPr>
            </w:pPr>
            <w:r w:rsidRPr="00653D9D">
              <w:rPr>
                <w:lang w:val="en-AU"/>
              </w:rPr>
              <w:t>&gt;1.9</w:t>
            </w:r>
          </w:p>
        </w:tc>
      </w:tr>
      <w:tr w:rsidR="00BB3262" w:rsidRPr="00653D9D" w14:paraId="74D12287" w14:textId="77777777" w:rsidTr="00E14C91">
        <w:trPr>
          <w:jc w:val="center"/>
        </w:trPr>
        <w:tc>
          <w:tcPr>
            <w:tcW w:w="1939" w:type="dxa"/>
            <w:tcMar>
              <w:top w:w="0" w:type="dxa"/>
              <w:left w:w="108" w:type="dxa"/>
              <w:bottom w:w="0" w:type="dxa"/>
              <w:right w:w="108" w:type="dxa"/>
            </w:tcMar>
            <w:hideMark/>
          </w:tcPr>
          <w:p w14:paraId="4FA2D39A" w14:textId="77777777" w:rsidR="00BB3262" w:rsidRPr="00653D9D" w:rsidRDefault="00BB3262" w:rsidP="00E14C91">
            <w:pPr>
              <w:pStyle w:val="FSCtblMain"/>
              <w:rPr>
                <w:lang w:val="en-AU" w:eastAsia="en-US"/>
              </w:rPr>
            </w:pPr>
            <w:r w:rsidRPr="00653D9D">
              <w:rPr>
                <w:lang w:val="en-AU"/>
              </w:rPr>
              <w:t>3</w:t>
            </w:r>
          </w:p>
        </w:tc>
        <w:tc>
          <w:tcPr>
            <w:tcW w:w="1953" w:type="dxa"/>
            <w:tcMar>
              <w:top w:w="0" w:type="dxa"/>
              <w:left w:w="108" w:type="dxa"/>
              <w:bottom w:w="0" w:type="dxa"/>
              <w:right w:w="108" w:type="dxa"/>
            </w:tcMar>
            <w:hideMark/>
          </w:tcPr>
          <w:p w14:paraId="349C8CC5" w14:textId="77777777" w:rsidR="00BB3262" w:rsidRPr="00653D9D" w:rsidRDefault="00BB3262" w:rsidP="00E14C91">
            <w:pPr>
              <w:pStyle w:val="FSCtblMainC"/>
              <w:rPr>
                <w:lang w:val="en-AU"/>
              </w:rPr>
            </w:pPr>
            <w:r w:rsidRPr="00653D9D">
              <w:rPr>
                <w:lang w:val="en-AU"/>
              </w:rPr>
              <w:t>&gt;2.8</w:t>
            </w:r>
          </w:p>
        </w:tc>
      </w:tr>
      <w:tr w:rsidR="00BB3262" w:rsidRPr="00653D9D" w14:paraId="246CA151" w14:textId="77777777" w:rsidTr="00E14C91">
        <w:trPr>
          <w:jc w:val="center"/>
        </w:trPr>
        <w:tc>
          <w:tcPr>
            <w:tcW w:w="1939" w:type="dxa"/>
            <w:tcMar>
              <w:top w:w="0" w:type="dxa"/>
              <w:left w:w="108" w:type="dxa"/>
              <w:bottom w:w="0" w:type="dxa"/>
              <w:right w:w="108" w:type="dxa"/>
            </w:tcMar>
            <w:hideMark/>
          </w:tcPr>
          <w:p w14:paraId="16268164" w14:textId="77777777" w:rsidR="00BB3262" w:rsidRPr="00653D9D" w:rsidRDefault="00BB3262" w:rsidP="00E14C91">
            <w:pPr>
              <w:pStyle w:val="FSCtblMain"/>
              <w:rPr>
                <w:lang w:val="en-AU" w:eastAsia="en-US"/>
              </w:rPr>
            </w:pPr>
            <w:r w:rsidRPr="00653D9D">
              <w:rPr>
                <w:lang w:val="en-AU"/>
              </w:rPr>
              <w:t>4</w:t>
            </w:r>
          </w:p>
        </w:tc>
        <w:tc>
          <w:tcPr>
            <w:tcW w:w="1953" w:type="dxa"/>
            <w:tcMar>
              <w:top w:w="0" w:type="dxa"/>
              <w:left w:w="108" w:type="dxa"/>
              <w:bottom w:w="0" w:type="dxa"/>
              <w:right w:w="108" w:type="dxa"/>
            </w:tcMar>
            <w:hideMark/>
          </w:tcPr>
          <w:p w14:paraId="5E3EA5D4" w14:textId="77777777" w:rsidR="00BB3262" w:rsidRPr="00653D9D" w:rsidRDefault="00BB3262" w:rsidP="00E14C91">
            <w:pPr>
              <w:pStyle w:val="FSCtblMainC"/>
              <w:rPr>
                <w:lang w:val="en-AU"/>
              </w:rPr>
            </w:pPr>
            <w:r w:rsidRPr="00653D9D">
              <w:rPr>
                <w:lang w:val="en-AU"/>
              </w:rPr>
              <w:t>&gt;3.7</w:t>
            </w:r>
          </w:p>
        </w:tc>
      </w:tr>
      <w:tr w:rsidR="00BB3262" w:rsidRPr="00653D9D" w14:paraId="32A52220" w14:textId="77777777" w:rsidTr="00E14C91">
        <w:trPr>
          <w:jc w:val="center"/>
        </w:trPr>
        <w:tc>
          <w:tcPr>
            <w:tcW w:w="1939" w:type="dxa"/>
            <w:tcBorders>
              <w:top w:val="nil"/>
              <w:left w:val="nil"/>
              <w:bottom w:val="single" w:sz="8" w:space="0" w:color="auto"/>
              <w:right w:val="nil"/>
            </w:tcBorders>
            <w:tcMar>
              <w:top w:w="0" w:type="dxa"/>
              <w:left w:w="108" w:type="dxa"/>
              <w:bottom w:w="0" w:type="dxa"/>
              <w:right w:w="108" w:type="dxa"/>
            </w:tcMar>
            <w:hideMark/>
          </w:tcPr>
          <w:p w14:paraId="76755818" w14:textId="77777777" w:rsidR="00BB3262" w:rsidRPr="00653D9D" w:rsidRDefault="00BB3262" w:rsidP="00E14C91">
            <w:pPr>
              <w:pStyle w:val="FSCtblMain"/>
              <w:rPr>
                <w:lang w:val="en-AU" w:eastAsia="en-US"/>
              </w:rPr>
            </w:pPr>
            <w:r w:rsidRPr="00653D9D">
              <w:rPr>
                <w:lang w:val="en-AU"/>
              </w:rPr>
              <w:t>5</w:t>
            </w:r>
          </w:p>
        </w:tc>
        <w:tc>
          <w:tcPr>
            <w:tcW w:w="1953" w:type="dxa"/>
            <w:tcBorders>
              <w:top w:val="nil"/>
              <w:left w:val="nil"/>
              <w:bottom w:val="single" w:sz="8" w:space="0" w:color="auto"/>
              <w:right w:val="nil"/>
            </w:tcBorders>
            <w:tcMar>
              <w:top w:w="0" w:type="dxa"/>
              <w:left w:w="108" w:type="dxa"/>
              <w:bottom w:w="0" w:type="dxa"/>
              <w:right w:w="108" w:type="dxa"/>
            </w:tcMar>
            <w:hideMark/>
          </w:tcPr>
          <w:p w14:paraId="0EC18F5A" w14:textId="77777777" w:rsidR="00BB3262" w:rsidRPr="00653D9D" w:rsidRDefault="00BB3262" w:rsidP="00E14C91">
            <w:pPr>
              <w:pStyle w:val="FSCtblMainC"/>
              <w:rPr>
                <w:lang w:val="en-AU"/>
              </w:rPr>
            </w:pPr>
            <w:r w:rsidRPr="00653D9D">
              <w:rPr>
                <w:lang w:val="en-AU"/>
              </w:rPr>
              <w:t>&gt;4.7</w:t>
            </w:r>
          </w:p>
        </w:tc>
      </w:tr>
    </w:tbl>
    <w:p w14:paraId="041AE279" w14:textId="3389260F" w:rsidR="00BB3262" w:rsidRPr="00653D9D" w:rsidRDefault="002D5D2C" w:rsidP="00BB3262">
      <w:pPr>
        <w:pStyle w:val="FSCtMain"/>
        <w:rPr>
          <w:rFonts w:eastAsiaTheme="minorHAnsi"/>
          <w:szCs w:val="20"/>
        </w:rPr>
      </w:pPr>
      <w:r>
        <w:tab/>
      </w:r>
      <w:r w:rsidR="00BB3262" w:rsidRPr="00653D9D">
        <w:t>(3</w:t>
      </w:r>
      <w:r w:rsidRPr="00653D9D">
        <w:t>)</w:t>
      </w:r>
      <w:r>
        <w:tab/>
      </w:r>
      <w:r w:rsidR="00BB3262" w:rsidRPr="00653D9D">
        <w:t>Category 1 foods do not score F points.</w:t>
      </w:r>
    </w:p>
    <w:p w14:paraId="1EE494C7" w14:textId="77777777" w:rsidR="009565CD" w:rsidRDefault="009565CD" w:rsidP="00BB3262">
      <w:pPr>
        <w:pStyle w:val="FSCh5Section"/>
      </w:pPr>
      <w:r>
        <w:br w:type="page"/>
      </w:r>
    </w:p>
    <w:p w14:paraId="166EDBF4" w14:textId="71E5FB3F" w:rsidR="00BB3262" w:rsidRPr="00653D9D" w:rsidRDefault="00BB3262" w:rsidP="00BB3262">
      <w:pPr>
        <w:pStyle w:val="FSCh5Section"/>
      </w:pPr>
      <w:r w:rsidRPr="00653D9D">
        <w:lastRenderedPageBreak/>
        <w:t>Schedule 29 – Special purpose foods</w:t>
      </w:r>
    </w:p>
    <w:p w14:paraId="35F8E89F" w14:textId="1711253D" w:rsidR="00BB3262" w:rsidRPr="00653D9D" w:rsidRDefault="00BB3262" w:rsidP="00BB3262">
      <w:pPr>
        <w:pStyle w:val="FSCDraftingitemheading"/>
      </w:pPr>
      <w:r w:rsidRPr="00653D9D">
        <w:t>[</w:t>
      </w:r>
      <w:r w:rsidR="00E14C91" w:rsidRPr="00653D9D">
        <w:t>20</w:t>
      </w:r>
      <w:r w:rsidRPr="00653D9D">
        <w:t>]</w:t>
      </w:r>
      <w:r w:rsidRPr="00653D9D">
        <w:tab/>
        <w:t>Section S29—7 (table)</w:t>
      </w:r>
    </w:p>
    <w:p w14:paraId="2900F275" w14:textId="77777777" w:rsidR="00BB3262" w:rsidRPr="00653D9D" w:rsidRDefault="00BB3262" w:rsidP="00BB3262">
      <w:pPr>
        <w:pStyle w:val="FSCDraftingitem"/>
        <w:keepNext/>
        <w:keepLines/>
      </w:pPr>
      <w:r w:rsidRPr="00653D9D">
        <w:tab/>
        <w:t>Omit ‘phytylmenoquinone’</w:t>
      </w:r>
    </w:p>
    <w:p w14:paraId="56090F85" w14:textId="77777777" w:rsidR="002D2FC9" w:rsidRPr="00653D9D" w:rsidRDefault="002D2FC9" w:rsidP="002D2FC9"/>
    <w:p w14:paraId="314F994A" w14:textId="77777777" w:rsidR="00456BD5" w:rsidRPr="00653D9D" w:rsidRDefault="00456BD5" w:rsidP="00456BD5">
      <w:pPr>
        <w:rPr>
          <w:lang w:bidi="ar-SA"/>
        </w:rPr>
      </w:pPr>
    </w:p>
    <w:p w14:paraId="314F994B" w14:textId="77777777" w:rsidR="00456BD5" w:rsidRPr="00653D9D" w:rsidRDefault="00456BD5" w:rsidP="00456BD5">
      <w:pPr>
        <w:pStyle w:val="Heading2"/>
        <w:ind w:left="0" w:firstLine="0"/>
      </w:pPr>
      <w:r w:rsidRPr="00653D9D">
        <w:br w:type="page"/>
      </w:r>
      <w:bookmarkStart w:id="121" w:name="_Toc471478812"/>
      <w:bookmarkStart w:id="122" w:name="_Toc471478949"/>
      <w:r w:rsidR="005E06C0" w:rsidRPr="00653D9D">
        <w:lastRenderedPageBreak/>
        <w:t xml:space="preserve">Attachment B – </w:t>
      </w:r>
      <w:r w:rsidRPr="00653D9D">
        <w:t>Explanatory Statement</w:t>
      </w:r>
      <w:bookmarkEnd w:id="121"/>
      <w:bookmarkEnd w:id="122"/>
    </w:p>
    <w:p w14:paraId="314F994C" w14:textId="77777777" w:rsidR="00456BD5" w:rsidRPr="00653D9D" w:rsidRDefault="00456BD5" w:rsidP="00456BD5">
      <w:pPr>
        <w:rPr>
          <w:b/>
          <w:lang w:val="en-AU" w:eastAsia="en-GB" w:bidi="ar-SA"/>
        </w:rPr>
      </w:pPr>
      <w:r w:rsidRPr="00653D9D">
        <w:rPr>
          <w:b/>
          <w:lang w:val="en-AU" w:eastAsia="en-GB" w:bidi="ar-SA"/>
        </w:rPr>
        <w:t>1.</w:t>
      </w:r>
      <w:r w:rsidRPr="00653D9D">
        <w:rPr>
          <w:b/>
          <w:lang w:val="en-AU" w:eastAsia="en-GB" w:bidi="ar-SA"/>
        </w:rPr>
        <w:tab/>
        <w:t>Authority</w:t>
      </w:r>
    </w:p>
    <w:p w14:paraId="314F994D" w14:textId="77777777" w:rsidR="00456BD5" w:rsidRPr="00653D9D" w:rsidRDefault="00456BD5" w:rsidP="00456BD5">
      <w:pPr>
        <w:rPr>
          <w:lang w:val="en-AU" w:eastAsia="en-GB" w:bidi="ar-SA"/>
        </w:rPr>
      </w:pPr>
    </w:p>
    <w:p w14:paraId="314F994E" w14:textId="77777777" w:rsidR="00456BD5" w:rsidRPr="00653D9D" w:rsidRDefault="00456BD5" w:rsidP="00456BD5">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Section 13 of the </w:t>
      </w:r>
      <w:r w:rsidRPr="00653D9D">
        <w:rPr>
          <w:rFonts w:eastAsia="Calibri" w:cs="Arial"/>
          <w:bCs/>
          <w:i/>
          <w:szCs w:val="22"/>
          <w:lang w:val="en-AU" w:bidi="ar-SA"/>
        </w:rPr>
        <w:t>Food Standards Australia New Zealand Act 1991</w:t>
      </w:r>
      <w:r w:rsidRPr="00653D9D">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653D9D">
        <w:rPr>
          <w:rFonts w:eastAsia="Calibri" w:cs="Arial"/>
          <w:bCs/>
          <w:i/>
          <w:szCs w:val="22"/>
          <w:lang w:val="en-AU" w:bidi="ar-SA"/>
        </w:rPr>
        <w:t>Australia New Zealand Food Standards Code</w:t>
      </w:r>
      <w:r w:rsidRPr="00653D9D">
        <w:rPr>
          <w:rFonts w:eastAsia="Calibri" w:cs="Arial"/>
          <w:bCs/>
          <w:szCs w:val="22"/>
          <w:lang w:val="en-AU" w:bidi="ar-SA"/>
        </w:rPr>
        <w:t xml:space="preserve"> (the Code).</w:t>
      </w:r>
    </w:p>
    <w:p w14:paraId="314F994F" w14:textId="77777777" w:rsidR="00456BD5" w:rsidRPr="00653D9D" w:rsidRDefault="00456BD5" w:rsidP="00456BD5">
      <w:pPr>
        <w:widowControl/>
        <w:autoSpaceDE w:val="0"/>
        <w:autoSpaceDN w:val="0"/>
        <w:adjustRightInd w:val="0"/>
        <w:rPr>
          <w:rFonts w:eastAsia="Calibri" w:cs="Arial"/>
          <w:bCs/>
          <w:szCs w:val="22"/>
          <w:lang w:val="en-AU" w:bidi="ar-SA"/>
        </w:rPr>
      </w:pPr>
    </w:p>
    <w:p w14:paraId="314F9955" w14:textId="77777777" w:rsidR="00456BD5" w:rsidRPr="00653D9D" w:rsidRDefault="00456BD5" w:rsidP="00456BD5">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314F9956" w14:textId="77777777" w:rsidR="00456BD5" w:rsidRPr="00653D9D" w:rsidRDefault="00456BD5" w:rsidP="00456BD5">
      <w:pPr>
        <w:widowControl/>
        <w:autoSpaceDE w:val="0"/>
        <w:autoSpaceDN w:val="0"/>
        <w:adjustRightInd w:val="0"/>
        <w:rPr>
          <w:rFonts w:eastAsia="Calibri" w:cs="Arial"/>
          <w:bCs/>
          <w:szCs w:val="22"/>
          <w:lang w:val="en-AU" w:bidi="ar-SA"/>
        </w:rPr>
      </w:pPr>
    </w:p>
    <w:p w14:paraId="314F9957" w14:textId="4DCDA49D" w:rsidR="00456BD5" w:rsidRPr="00653D9D" w:rsidRDefault="00456BD5" w:rsidP="00456BD5">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The Authority prepared Proposal </w:t>
      </w:r>
      <w:r w:rsidR="0047439E" w:rsidRPr="00653D9D">
        <w:rPr>
          <w:rFonts w:eastAsia="Calibri" w:cs="Arial"/>
          <w:bCs/>
          <w:szCs w:val="22"/>
          <w:lang w:val="en-AU" w:bidi="ar-SA"/>
        </w:rPr>
        <w:t xml:space="preserve">P1045 </w:t>
      </w:r>
      <w:r w:rsidRPr="00653D9D">
        <w:rPr>
          <w:rFonts w:eastAsia="Calibri" w:cs="Arial"/>
          <w:bCs/>
          <w:szCs w:val="22"/>
          <w:lang w:val="en-AU" w:bidi="ar-SA"/>
        </w:rPr>
        <w:t xml:space="preserve">to </w:t>
      </w:r>
      <w:r w:rsidR="002360E5" w:rsidRPr="00653D9D">
        <w:rPr>
          <w:lang w:bidi="ar-SA"/>
        </w:rPr>
        <w:t>make a range of minor amendments to the Code including the correction of typographical errors, formatting issues, and updating of references</w:t>
      </w:r>
      <w:r w:rsidRPr="00653D9D">
        <w:rPr>
          <w:rFonts w:eastAsia="Calibri" w:cs="Arial"/>
          <w:bCs/>
          <w:szCs w:val="22"/>
          <w:lang w:val="en-AU" w:bidi="ar-SA"/>
        </w:rPr>
        <w:t xml:space="preserve">. The Authority considered the Proposal in accordance with Division 2 of Part 3 and has approved a draft Standard. </w:t>
      </w:r>
    </w:p>
    <w:p w14:paraId="314F9958" w14:textId="77777777" w:rsidR="00456BD5" w:rsidRPr="00653D9D" w:rsidRDefault="00456BD5" w:rsidP="00456BD5">
      <w:pPr>
        <w:widowControl/>
        <w:autoSpaceDE w:val="0"/>
        <w:autoSpaceDN w:val="0"/>
        <w:adjustRightInd w:val="0"/>
        <w:rPr>
          <w:rFonts w:eastAsia="Calibri" w:cs="Arial"/>
          <w:bCs/>
          <w:szCs w:val="22"/>
          <w:lang w:val="en-AU" w:bidi="ar-SA"/>
        </w:rPr>
      </w:pPr>
    </w:p>
    <w:p w14:paraId="314F9959" w14:textId="77777777" w:rsidR="00456BD5" w:rsidRPr="00653D9D" w:rsidRDefault="00456BD5" w:rsidP="00456BD5">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Following consideration by the </w:t>
      </w:r>
      <w:r w:rsidRPr="00653D9D">
        <w:rPr>
          <w:rFonts w:cs="Helvetica"/>
          <w:lang w:val="en-AU"/>
        </w:rPr>
        <w:t xml:space="preserve">Australia and New Zealand Ministerial Forum on Food </w:t>
      </w:r>
      <w:r w:rsidRPr="00653D9D">
        <w:rPr>
          <w:rFonts w:cs="Arial"/>
        </w:rPr>
        <w:t>Regulation</w:t>
      </w:r>
      <w:r w:rsidRPr="00653D9D">
        <w:rPr>
          <w:rFonts w:eastAsia="Calibri" w:cs="Arial"/>
          <w:bCs/>
          <w:szCs w:val="22"/>
          <w:lang w:val="en-AU" w:bidi="ar-SA"/>
        </w:rPr>
        <w:t xml:space="preserve">, section 92 of the FSANZ Act stipulates that the Authority must publish a notice about the standard or draft variation of a standard. </w:t>
      </w:r>
    </w:p>
    <w:p w14:paraId="314F995A" w14:textId="77777777" w:rsidR="00456BD5" w:rsidRPr="00653D9D" w:rsidRDefault="00456BD5" w:rsidP="00456BD5">
      <w:pPr>
        <w:widowControl/>
        <w:autoSpaceDE w:val="0"/>
        <w:autoSpaceDN w:val="0"/>
        <w:adjustRightInd w:val="0"/>
        <w:rPr>
          <w:rFonts w:eastAsia="Calibri" w:cs="Arial"/>
          <w:bCs/>
          <w:szCs w:val="22"/>
          <w:lang w:val="en-AU" w:bidi="ar-SA"/>
        </w:rPr>
      </w:pPr>
    </w:p>
    <w:p w14:paraId="314F995B" w14:textId="77777777" w:rsidR="00456BD5" w:rsidRPr="00653D9D" w:rsidRDefault="00456BD5" w:rsidP="00456BD5">
      <w:pPr>
        <w:widowControl/>
        <w:autoSpaceDE w:val="0"/>
        <w:autoSpaceDN w:val="0"/>
        <w:adjustRightInd w:val="0"/>
        <w:rPr>
          <w:rFonts w:eastAsia="Calibri" w:cs="Arial"/>
          <w:szCs w:val="22"/>
          <w:lang w:val="en-AU" w:bidi="ar-SA"/>
        </w:rPr>
      </w:pPr>
      <w:r w:rsidRPr="00653D9D">
        <w:rPr>
          <w:rFonts w:eastAsia="Calibri" w:cs="Arial"/>
          <w:bCs/>
          <w:szCs w:val="22"/>
          <w:lang w:val="en-AU" w:bidi="ar-SA"/>
        </w:rPr>
        <w:t>Section 94 of the FSANZ Act specifies that a</w:t>
      </w:r>
      <w:r w:rsidRPr="00653D9D">
        <w:rPr>
          <w:rFonts w:eastAsia="Calibri" w:cs="Arial"/>
          <w:szCs w:val="22"/>
          <w:lang w:val="en-AU" w:bidi="ar-SA"/>
        </w:rPr>
        <w:t xml:space="preserve"> standard, or a variation of a standard, in relation to which a notice is published under section 92 is a legislative instrument, but is not subject to parliamentary disallowance or sunsetting under the </w:t>
      </w:r>
      <w:r w:rsidRPr="00653D9D">
        <w:rPr>
          <w:rFonts w:eastAsia="Calibri" w:cs="Arial"/>
          <w:i/>
          <w:szCs w:val="22"/>
          <w:lang w:val="en-AU" w:bidi="ar-SA"/>
        </w:rPr>
        <w:t>Legislati</w:t>
      </w:r>
      <w:r w:rsidR="00856712" w:rsidRPr="00653D9D">
        <w:rPr>
          <w:rFonts w:eastAsia="Calibri" w:cs="Arial"/>
          <w:i/>
          <w:szCs w:val="22"/>
          <w:lang w:val="en-AU" w:bidi="ar-SA"/>
        </w:rPr>
        <w:t xml:space="preserve">on </w:t>
      </w:r>
      <w:r w:rsidRPr="00653D9D">
        <w:rPr>
          <w:rFonts w:eastAsia="Calibri" w:cs="Arial"/>
          <w:i/>
          <w:szCs w:val="22"/>
          <w:lang w:val="en-AU" w:bidi="ar-SA"/>
        </w:rPr>
        <w:t>Act 2003</w:t>
      </w:r>
      <w:r w:rsidRPr="00653D9D">
        <w:rPr>
          <w:rFonts w:eastAsia="Calibri" w:cs="Arial"/>
          <w:szCs w:val="22"/>
          <w:lang w:val="en-AU" w:bidi="ar-SA"/>
        </w:rPr>
        <w:t>.</w:t>
      </w:r>
    </w:p>
    <w:p w14:paraId="314F995C" w14:textId="77777777" w:rsidR="00456BD5" w:rsidRPr="00653D9D" w:rsidRDefault="00456BD5" w:rsidP="00456BD5">
      <w:pPr>
        <w:rPr>
          <w:lang w:val="en-AU" w:eastAsia="en-GB" w:bidi="ar-SA"/>
        </w:rPr>
      </w:pPr>
    </w:p>
    <w:p w14:paraId="314F995D" w14:textId="77777777" w:rsidR="00456BD5" w:rsidRPr="00653D9D" w:rsidRDefault="00456BD5" w:rsidP="00456BD5">
      <w:pPr>
        <w:rPr>
          <w:b/>
          <w:lang w:val="en-AU" w:eastAsia="en-GB" w:bidi="ar-SA"/>
        </w:rPr>
      </w:pPr>
      <w:r w:rsidRPr="00653D9D">
        <w:rPr>
          <w:b/>
          <w:lang w:val="en-AU" w:eastAsia="en-GB" w:bidi="ar-SA"/>
        </w:rPr>
        <w:t>2.</w:t>
      </w:r>
      <w:r w:rsidRPr="00653D9D">
        <w:rPr>
          <w:b/>
          <w:lang w:val="en-AU" w:eastAsia="en-GB" w:bidi="ar-SA"/>
        </w:rPr>
        <w:tab/>
        <w:t xml:space="preserve">Purpose </w:t>
      </w:r>
    </w:p>
    <w:p w14:paraId="314F995E" w14:textId="77777777" w:rsidR="00456BD5" w:rsidRPr="00653D9D" w:rsidRDefault="00456BD5" w:rsidP="00456BD5">
      <w:pPr>
        <w:rPr>
          <w:lang w:val="en-AU" w:eastAsia="en-GB" w:bidi="ar-SA"/>
        </w:rPr>
      </w:pPr>
    </w:p>
    <w:p w14:paraId="314F995F" w14:textId="09F16887" w:rsidR="00456BD5" w:rsidRPr="00653D9D" w:rsidRDefault="00456BD5" w:rsidP="00456BD5">
      <w:pPr>
        <w:rPr>
          <w:lang w:val="en-AU" w:eastAsia="en-GB" w:bidi="ar-SA"/>
        </w:rPr>
      </w:pPr>
      <w:r w:rsidRPr="00653D9D">
        <w:rPr>
          <w:lang w:val="en-AU" w:eastAsia="en-GB" w:bidi="ar-SA"/>
        </w:rPr>
        <w:t xml:space="preserve">The Authority has approved </w:t>
      </w:r>
      <w:r w:rsidR="002360E5" w:rsidRPr="00653D9D">
        <w:rPr>
          <w:lang w:val="en-AU" w:eastAsia="en-GB" w:bidi="ar-SA"/>
        </w:rPr>
        <w:t xml:space="preserve">the variation because </w:t>
      </w:r>
      <w:r w:rsidR="002360E5" w:rsidRPr="00653D9D">
        <w:t>minor typographical and grammatical errors and cross-reference issues are identified in the Code from time-to-time. References in the Code also become superseded as the documents they refer to are updated. This Proposal was prepared to resolve such issues.</w:t>
      </w:r>
      <w:r w:rsidR="002360E5" w:rsidRPr="00653D9D">
        <w:rPr>
          <w:lang w:val="en-AU" w:eastAsia="en-GB" w:bidi="ar-SA"/>
        </w:rPr>
        <w:t xml:space="preserve"> </w:t>
      </w:r>
    </w:p>
    <w:p w14:paraId="314F9960" w14:textId="77777777" w:rsidR="00456BD5" w:rsidRPr="00653D9D" w:rsidRDefault="00456BD5" w:rsidP="00456BD5">
      <w:pPr>
        <w:rPr>
          <w:lang w:val="en-AU" w:eastAsia="en-GB" w:bidi="ar-SA"/>
        </w:rPr>
      </w:pPr>
    </w:p>
    <w:p w14:paraId="314F9961" w14:textId="77777777" w:rsidR="00456BD5" w:rsidRPr="00653D9D" w:rsidRDefault="00456BD5" w:rsidP="00456BD5">
      <w:pPr>
        <w:rPr>
          <w:b/>
          <w:lang w:val="en-AU" w:eastAsia="en-GB" w:bidi="ar-SA"/>
        </w:rPr>
      </w:pPr>
      <w:r w:rsidRPr="00653D9D">
        <w:rPr>
          <w:b/>
          <w:lang w:val="en-AU" w:eastAsia="en-GB" w:bidi="ar-SA"/>
        </w:rPr>
        <w:t>3.</w:t>
      </w:r>
      <w:r w:rsidRPr="00653D9D">
        <w:rPr>
          <w:b/>
          <w:lang w:val="en-AU" w:eastAsia="en-GB" w:bidi="ar-SA"/>
        </w:rPr>
        <w:tab/>
        <w:t>Documents incorporated by reference</w:t>
      </w:r>
    </w:p>
    <w:p w14:paraId="314F9962" w14:textId="77777777" w:rsidR="00456BD5" w:rsidRPr="00653D9D" w:rsidRDefault="00456BD5" w:rsidP="00456BD5">
      <w:pPr>
        <w:rPr>
          <w:lang w:val="en-AU" w:eastAsia="en-GB" w:bidi="ar-SA"/>
        </w:rPr>
      </w:pPr>
    </w:p>
    <w:p w14:paraId="314F9963" w14:textId="3CF9FF58" w:rsidR="00456BD5" w:rsidRPr="00653D9D" w:rsidRDefault="00456BD5" w:rsidP="00456BD5">
      <w:pPr>
        <w:widowControl/>
        <w:autoSpaceDE w:val="0"/>
        <w:autoSpaceDN w:val="0"/>
        <w:adjustRightInd w:val="0"/>
        <w:rPr>
          <w:rFonts w:eastAsia="Calibri" w:cs="Arial"/>
          <w:bCs/>
          <w:szCs w:val="22"/>
          <w:lang w:val="en-AU" w:bidi="ar-SA"/>
        </w:rPr>
      </w:pPr>
      <w:r w:rsidRPr="00653D9D">
        <w:rPr>
          <w:rFonts w:eastAsia="Calibri" w:cs="Arial"/>
          <w:bCs/>
          <w:szCs w:val="22"/>
          <w:lang w:val="en-AU" w:bidi="ar-SA"/>
        </w:rPr>
        <w:t xml:space="preserve">The variations do not incorporate any </w:t>
      </w:r>
      <w:r w:rsidR="00FE08AD" w:rsidRPr="00653D9D">
        <w:rPr>
          <w:rFonts w:eastAsia="Calibri" w:cs="Arial"/>
          <w:bCs/>
          <w:szCs w:val="22"/>
          <w:lang w:val="en-AU" w:bidi="ar-SA"/>
        </w:rPr>
        <w:t xml:space="preserve">new </w:t>
      </w:r>
      <w:r w:rsidRPr="00653D9D">
        <w:rPr>
          <w:rFonts w:eastAsia="Calibri" w:cs="Arial"/>
          <w:bCs/>
          <w:szCs w:val="22"/>
          <w:lang w:val="en-AU" w:bidi="ar-SA"/>
        </w:rPr>
        <w:t>documents by reference</w:t>
      </w:r>
      <w:r w:rsidR="002360E5" w:rsidRPr="00653D9D">
        <w:rPr>
          <w:rFonts w:eastAsia="Calibri" w:cs="Arial"/>
          <w:bCs/>
          <w:szCs w:val="22"/>
          <w:lang w:val="en-AU" w:bidi="ar-SA"/>
        </w:rPr>
        <w:t xml:space="preserve">, although </w:t>
      </w:r>
      <w:r w:rsidR="0047439E" w:rsidRPr="00653D9D">
        <w:rPr>
          <w:rFonts w:eastAsia="Calibri" w:cs="Arial"/>
          <w:bCs/>
          <w:szCs w:val="22"/>
          <w:lang w:val="en-AU" w:bidi="ar-SA"/>
        </w:rPr>
        <w:t xml:space="preserve">the </w:t>
      </w:r>
      <w:r w:rsidR="00FE08AD" w:rsidRPr="00653D9D">
        <w:rPr>
          <w:rFonts w:eastAsia="Calibri" w:cs="Arial"/>
          <w:bCs/>
          <w:szCs w:val="22"/>
          <w:lang w:val="en-AU" w:bidi="ar-SA"/>
        </w:rPr>
        <w:t xml:space="preserve">following </w:t>
      </w:r>
      <w:r w:rsidR="002360E5" w:rsidRPr="00653D9D">
        <w:rPr>
          <w:rFonts w:eastAsia="Calibri" w:cs="Arial"/>
          <w:bCs/>
          <w:szCs w:val="22"/>
          <w:lang w:val="en-AU" w:bidi="ar-SA"/>
        </w:rPr>
        <w:t>existing references are updated (see para 6.2</w:t>
      </w:r>
      <w:r w:rsidR="00BE2B4B">
        <w:rPr>
          <w:rFonts w:eastAsia="Calibri" w:cs="Arial"/>
          <w:bCs/>
          <w:szCs w:val="22"/>
          <w:lang w:val="en-AU" w:bidi="ar-SA"/>
        </w:rPr>
        <w:t xml:space="preserve"> below</w:t>
      </w:r>
      <w:r w:rsidR="003C51A0" w:rsidRPr="00653D9D">
        <w:rPr>
          <w:rFonts w:eastAsia="Calibri" w:cs="Arial"/>
          <w:bCs/>
          <w:szCs w:val="22"/>
          <w:lang w:val="en-AU" w:bidi="ar-SA"/>
        </w:rPr>
        <w:t>):</w:t>
      </w:r>
    </w:p>
    <w:p w14:paraId="623FB167" w14:textId="05C5F311" w:rsidR="003C51A0" w:rsidRPr="00653D9D" w:rsidRDefault="0047439E" w:rsidP="00240FD8">
      <w:pPr>
        <w:widowControl/>
        <w:tabs>
          <w:tab w:val="left" w:pos="5010"/>
        </w:tabs>
        <w:autoSpaceDE w:val="0"/>
        <w:autoSpaceDN w:val="0"/>
        <w:adjustRightInd w:val="0"/>
        <w:rPr>
          <w:rFonts w:eastAsia="Calibri" w:cs="Arial"/>
          <w:bCs/>
          <w:szCs w:val="22"/>
          <w:lang w:val="en-AU" w:bidi="ar-SA"/>
        </w:rPr>
      </w:pPr>
      <w:r w:rsidRPr="00653D9D">
        <w:rPr>
          <w:rFonts w:eastAsia="Calibri" w:cs="Arial"/>
          <w:bCs/>
          <w:szCs w:val="22"/>
          <w:lang w:val="en-AU" w:bidi="ar-SA"/>
        </w:rPr>
        <w:tab/>
      </w:r>
    </w:p>
    <w:p w14:paraId="16F005C0" w14:textId="77777777" w:rsidR="00BE2B4B" w:rsidRPr="00653D9D" w:rsidRDefault="00BE2B4B" w:rsidP="00BE2B4B">
      <w:pPr>
        <w:pStyle w:val="FSBullet1"/>
      </w:pPr>
      <w:r w:rsidRPr="00653D9D">
        <w:t>Guidelines for Drinking Water Quality, World Health Organisation</w:t>
      </w:r>
    </w:p>
    <w:p w14:paraId="58FDB26A" w14:textId="252D513C" w:rsidR="00BE2B4B" w:rsidRPr="00D5047D" w:rsidRDefault="00BE2B4B" w:rsidP="00D5047D">
      <w:pPr>
        <w:pStyle w:val="FSBullet1"/>
        <w:rPr>
          <w:rFonts w:eastAsia="Calibri"/>
          <w:bCs/>
          <w:szCs w:val="22"/>
          <w:lang w:val="en-AU"/>
        </w:rPr>
      </w:pPr>
      <w:r w:rsidRPr="001D1563">
        <w:t>Combined Compendium of Food Additive Specifications, FAO JECFA Monographs</w:t>
      </w:r>
      <w:r w:rsidR="007B5B9B">
        <w:t>.</w:t>
      </w:r>
      <w:r>
        <w:t xml:space="preserve"> </w:t>
      </w:r>
    </w:p>
    <w:p w14:paraId="2410A2E3" w14:textId="77777777" w:rsidR="00920848" w:rsidRPr="00653D9D" w:rsidRDefault="00920848" w:rsidP="00456BD5">
      <w:pPr>
        <w:rPr>
          <w:lang w:val="en-AU" w:eastAsia="en-GB" w:bidi="ar-SA"/>
        </w:rPr>
      </w:pPr>
    </w:p>
    <w:p w14:paraId="314F9965" w14:textId="77777777" w:rsidR="00456BD5" w:rsidRPr="00653D9D" w:rsidRDefault="00456BD5" w:rsidP="00456BD5">
      <w:pPr>
        <w:rPr>
          <w:b/>
          <w:lang w:val="en-AU" w:eastAsia="en-GB" w:bidi="ar-SA"/>
        </w:rPr>
      </w:pPr>
      <w:r w:rsidRPr="00653D9D">
        <w:rPr>
          <w:b/>
          <w:lang w:val="en-AU" w:eastAsia="en-GB" w:bidi="ar-SA"/>
        </w:rPr>
        <w:t>4.</w:t>
      </w:r>
      <w:r w:rsidRPr="00653D9D">
        <w:rPr>
          <w:b/>
          <w:lang w:val="en-AU" w:eastAsia="en-GB" w:bidi="ar-SA"/>
        </w:rPr>
        <w:tab/>
        <w:t>Consultation</w:t>
      </w:r>
    </w:p>
    <w:p w14:paraId="314F9966" w14:textId="77777777" w:rsidR="00456BD5" w:rsidRPr="00653D9D" w:rsidRDefault="00456BD5" w:rsidP="00456BD5">
      <w:pPr>
        <w:rPr>
          <w:lang w:val="en-AU" w:eastAsia="en-GB" w:bidi="ar-SA"/>
        </w:rPr>
      </w:pPr>
    </w:p>
    <w:p w14:paraId="314F9967" w14:textId="3E7E3A4B" w:rsidR="00456BD5" w:rsidRPr="00653D9D" w:rsidRDefault="00456BD5" w:rsidP="00456BD5">
      <w:pPr>
        <w:rPr>
          <w:szCs w:val="22"/>
        </w:rPr>
      </w:pPr>
      <w:r w:rsidRPr="00653D9D">
        <w:rPr>
          <w:szCs w:val="22"/>
        </w:rPr>
        <w:t xml:space="preserve">In accordance with the procedure in Division </w:t>
      </w:r>
      <w:r w:rsidR="002360E5" w:rsidRPr="00653D9D">
        <w:rPr>
          <w:szCs w:val="22"/>
        </w:rPr>
        <w:t>2</w:t>
      </w:r>
      <w:r w:rsidRPr="00653D9D">
        <w:rPr>
          <w:szCs w:val="22"/>
        </w:rPr>
        <w:t xml:space="preserve"> of Part </w:t>
      </w:r>
      <w:r w:rsidR="002360E5" w:rsidRPr="00653D9D">
        <w:rPr>
          <w:szCs w:val="22"/>
        </w:rPr>
        <w:t>3</w:t>
      </w:r>
      <w:r w:rsidRPr="00653D9D">
        <w:rPr>
          <w:szCs w:val="22"/>
        </w:rPr>
        <w:t xml:space="preserve"> of the FSANZ Act, </w:t>
      </w:r>
      <w:r w:rsidRPr="00653D9D">
        <w:rPr>
          <w:rFonts w:eastAsia="Calibri" w:cs="Arial"/>
          <w:bCs/>
          <w:szCs w:val="22"/>
          <w:lang w:val="en-AU" w:bidi="ar-SA"/>
        </w:rPr>
        <w:t>the Authority</w:t>
      </w:r>
      <w:r w:rsidRPr="00653D9D">
        <w:rPr>
          <w:szCs w:val="22"/>
        </w:rPr>
        <w:t>’s consideration of Proposal P</w:t>
      </w:r>
      <w:r w:rsidR="00AA5E3F" w:rsidRPr="00653D9D">
        <w:rPr>
          <w:szCs w:val="22"/>
        </w:rPr>
        <w:t>104</w:t>
      </w:r>
      <w:r w:rsidR="00BE2B4B">
        <w:rPr>
          <w:szCs w:val="22"/>
        </w:rPr>
        <w:t>5</w:t>
      </w:r>
      <w:r w:rsidRPr="00653D9D">
        <w:rPr>
          <w:szCs w:val="22"/>
        </w:rPr>
        <w:t xml:space="preserve"> included one round of public consultation following an assessment and the preparation of a draft Standard and associated report. Submissions were called for on </w:t>
      </w:r>
      <w:r w:rsidR="0047439E" w:rsidRPr="00653D9D">
        <w:rPr>
          <w:szCs w:val="22"/>
        </w:rPr>
        <w:t>26 April 2017</w:t>
      </w:r>
      <w:r w:rsidRPr="00653D9D">
        <w:rPr>
          <w:szCs w:val="22"/>
        </w:rPr>
        <w:t xml:space="preserve"> for a </w:t>
      </w:r>
      <w:r w:rsidR="0047439E" w:rsidRPr="00653D9D">
        <w:rPr>
          <w:szCs w:val="22"/>
        </w:rPr>
        <w:t>four</w:t>
      </w:r>
      <w:r w:rsidRPr="00653D9D">
        <w:rPr>
          <w:szCs w:val="22"/>
        </w:rPr>
        <w:t xml:space="preserve">-week consultation period. </w:t>
      </w:r>
    </w:p>
    <w:p w14:paraId="314F9969" w14:textId="77777777" w:rsidR="00456BD5" w:rsidRPr="00653D9D" w:rsidRDefault="00456BD5" w:rsidP="00456BD5">
      <w:pPr>
        <w:rPr>
          <w:rFonts w:eastAsia="Calibri"/>
          <w:szCs w:val="22"/>
          <w:lang w:val="en-AU" w:bidi="ar-SA"/>
        </w:rPr>
      </w:pPr>
    </w:p>
    <w:p w14:paraId="314F996A" w14:textId="1514F43D" w:rsidR="00456BD5" w:rsidRPr="00653D9D" w:rsidRDefault="00456BD5" w:rsidP="00456BD5">
      <w:pPr>
        <w:widowControl/>
        <w:autoSpaceDE w:val="0"/>
        <w:autoSpaceDN w:val="0"/>
        <w:adjustRightInd w:val="0"/>
        <w:rPr>
          <w:rFonts w:cs="Arial"/>
          <w:szCs w:val="22"/>
        </w:rPr>
      </w:pPr>
      <w:r w:rsidRPr="00653D9D">
        <w:rPr>
          <w:rFonts w:eastAsia="Calibri" w:cs="Arial"/>
          <w:bCs/>
          <w:szCs w:val="22"/>
          <w:lang w:val="en-AU" w:bidi="ar-SA"/>
        </w:rPr>
        <w:t xml:space="preserve">A Regulation Impact Statement was not required because the </w:t>
      </w:r>
      <w:r w:rsidR="00784C58" w:rsidRPr="00653D9D">
        <w:rPr>
          <w:rFonts w:eastAsia="Calibri" w:cs="Arial"/>
          <w:bCs/>
          <w:szCs w:val="22"/>
          <w:lang w:val="en-AU" w:bidi="ar-SA"/>
        </w:rPr>
        <w:t>variation is</w:t>
      </w:r>
      <w:r w:rsidR="00AF706A" w:rsidRPr="00653D9D">
        <w:rPr>
          <w:rFonts w:eastAsia="Calibri" w:cs="Arial"/>
          <w:bCs/>
          <w:szCs w:val="22"/>
          <w:lang w:val="en-AU" w:bidi="ar-SA"/>
        </w:rPr>
        <w:t xml:space="preserve"> </w:t>
      </w:r>
      <w:r w:rsidRPr="00653D9D">
        <w:t xml:space="preserve">likely to have a minor impact on business and individuals. </w:t>
      </w:r>
    </w:p>
    <w:p w14:paraId="314F996B" w14:textId="77777777" w:rsidR="00456BD5" w:rsidRPr="00653D9D" w:rsidRDefault="00456BD5" w:rsidP="00456BD5">
      <w:pPr>
        <w:rPr>
          <w:lang w:val="en-AU" w:eastAsia="en-GB" w:bidi="ar-SA"/>
        </w:rPr>
      </w:pPr>
    </w:p>
    <w:p w14:paraId="2C43008C" w14:textId="77777777" w:rsidR="009565CD" w:rsidRDefault="009565CD" w:rsidP="00456BD5">
      <w:pPr>
        <w:widowControl/>
        <w:rPr>
          <w:rFonts w:eastAsiaTheme="minorHAnsi" w:cs="Arial"/>
          <w:b/>
          <w:bCs/>
          <w:szCs w:val="22"/>
          <w:lang w:val="en-AU" w:bidi="ar-SA"/>
        </w:rPr>
      </w:pPr>
      <w:r>
        <w:rPr>
          <w:rFonts w:eastAsiaTheme="minorHAnsi" w:cs="Arial"/>
          <w:b/>
          <w:bCs/>
          <w:szCs w:val="22"/>
          <w:lang w:val="en-AU" w:bidi="ar-SA"/>
        </w:rPr>
        <w:br w:type="page"/>
      </w:r>
    </w:p>
    <w:p w14:paraId="314F996C" w14:textId="2CDCC374" w:rsidR="00456BD5" w:rsidRPr="00653D9D" w:rsidRDefault="00456BD5" w:rsidP="00456BD5">
      <w:pPr>
        <w:widowControl/>
        <w:rPr>
          <w:rFonts w:eastAsiaTheme="minorHAnsi" w:cs="Arial"/>
          <w:b/>
          <w:bCs/>
          <w:szCs w:val="22"/>
          <w:lang w:val="en-AU" w:bidi="ar-SA"/>
        </w:rPr>
      </w:pPr>
      <w:r w:rsidRPr="00653D9D">
        <w:rPr>
          <w:rFonts w:eastAsiaTheme="minorHAnsi" w:cs="Arial"/>
          <w:b/>
          <w:bCs/>
          <w:szCs w:val="22"/>
          <w:lang w:val="en-AU" w:bidi="ar-SA"/>
        </w:rPr>
        <w:lastRenderedPageBreak/>
        <w:t>5.</w:t>
      </w:r>
      <w:r w:rsidRPr="00653D9D">
        <w:rPr>
          <w:rFonts w:eastAsiaTheme="minorHAnsi" w:cs="Arial"/>
          <w:b/>
          <w:bCs/>
          <w:szCs w:val="22"/>
          <w:lang w:val="en-AU" w:bidi="ar-SA"/>
        </w:rPr>
        <w:tab/>
        <w:t>Statement of compatibility with human rights</w:t>
      </w:r>
    </w:p>
    <w:p w14:paraId="314F996D" w14:textId="77777777" w:rsidR="00456BD5" w:rsidRPr="00653D9D" w:rsidRDefault="00456BD5" w:rsidP="00456BD5">
      <w:pPr>
        <w:rPr>
          <w:rFonts w:eastAsiaTheme="minorHAnsi"/>
          <w:lang w:val="en-AU" w:bidi="ar-SA"/>
        </w:rPr>
      </w:pPr>
    </w:p>
    <w:p w14:paraId="314F996E" w14:textId="77777777" w:rsidR="00456BD5" w:rsidRPr="00653D9D" w:rsidRDefault="00456BD5" w:rsidP="00456BD5">
      <w:pPr>
        <w:rPr>
          <w:rFonts w:eastAsiaTheme="minorHAnsi"/>
          <w:lang w:val="en-AU" w:bidi="ar-SA"/>
        </w:rPr>
      </w:pPr>
      <w:r w:rsidRPr="00653D9D">
        <w:rPr>
          <w:rFonts w:eastAsiaTheme="minorHAnsi"/>
          <w:lang w:val="en-AU" w:bidi="ar-SA"/>
        </w:rPr>
        <w:t>This instrument is exempt from the requirements for a statement of compatibility with human rights as it is a non-disallowable instrument under section 94 of the FSANZ Act.</w:t>
      </w:r>
    </w:p>
    <w:p w14:paraId="314F996F" w14:textId="77777777" w:rsidR="00456BD5" w:rsidRPr="00653D9D" w:rsidRDefault="00456BD5" w:rsidP="00456BD5">
      <w:pPr>
        <w:rPr>
          <w:rFonts w:eastAsiaTheme="minorHAnsi"/>
          <w:lang w:val="en-AU" w:bidi="ar-SA"/>
        </w:rPr>
      </w:pPr>
    </w:p>
    <w:p w14:paraId="314F9970" w14:textId="77777777" w:rsidR="00456BD5" w:rsidRPr="00653D9D" w:rsidRDefault="00456BD5" w:rsidP="00456BD5">
      <w:pPr>
        <w:rPr>
          <w:b/>
          <w:lang w:val="en-AU" w:eastAsia="en-GB" w:bidi="ar-SA"/>
        </w:rPr>
      </w:pPr>
      <w:r w:rsidRPr="00653D9D">
        <w:rPr>
          <w:b/>
        </w:rPr>
        <w:t>6.</w:t>
      </w:r>
      <w:r w:rsidRPr="00653D9D">
        <w:rPr>
          <w:b/>
        </w:rPr>
        <w:tab/>
      </w:r>
      <w:r w:rsidRPr="00653D9D">
        <w:rPr>
          <w:b/>
          <w:lang w:val="en-AU" w:eastAsia="en-GB" w:bidi="ar-SA"/>
        </w:rPr>
        <w:t>Variation</w:t>
      </w:r>
    </w:p>
    <w:p w14:paraId="314F9971" w14:textId="77777777" w:rsidR="00456BD5" w:rsidRPr="00653D9D" w:rsidRDefault="00456BD5" w:rsidP="00456BD5">
      <w:pPr>
        <w:rPr>
          <w:b/>
        </w:rPr>
      </w:pPr>
    </w:p>
    <w:p w14:paraId="5D1A7E21" w14:textId="2BBF18B5" w:rsidR="00AA5E3F" w:rsidRPr="00653D9D" w:rsidRDefault="00AA5E3F" w:rsidP="00AA5E3F">
      <w:pPr>
        <w:rPr>
          <w:b/>
        </w:rPr>
      </w:pPr>
      <w:r w:rsidRPr="00653D9D">
        <w:rPr>
          <w:b/>
          <w:i/>
        </w:rPr>
        <w:t>6.1</w:t>
      </w:r>
      <w:r w:rsidRPr="00653D9D">
        <w:rPr>
          <w:b/>
          <w:i/>
        </w:rPr>
        <w:tab/>
      </w:r>
      <w:r w:rsidRPr="00653D9D">
        <w:rPr>
          <w:b/>
          <w:i/>
          <w:szCs w:val="22"/>
        </w:rPr>
        <w:t>Correcting minor errors and omissions</w:t>
      </w:r>
    </w:p>
    <w:p w14:paraId="5C65A29C" w14:textId="77777777" w:rsidR="00AA5E3F" w:rsidRPr="00653D9D" w:rsidRDefault="00AA5E3F" w:rsidP="00AA5E3F"/>
    <w:p w14:paraId="421C26B8" w14:textId="45159DFC" w:rsidR="00AA5E3F" w:rsidRPr="00653D9D" w:rsidRDefault="00AA5E3F" w:rsidP="00AA5E3F">
      <w:r w:rsidRPr="00653D9D">
        <w:t>Items [</w:t>
      </w:r>
      <w:r w:rsidR="0047439E" w:rsidRPr="00653D9D">
        <w:t>1</w:t>
      </w:r>
      <w:r w:rsidRPr="00653D9D">
        <w:t xml:space="preserve">] </w:t>
      </w:r>
      <w:r w:rsidR="008E4779" w:rsidRPr="00653D9D">
        <w:t xml:space="preserve">to </w:t>
      </w:r>
      <w:r w:rsidRPr="00653D9D">
        <w:t>[</w:t>
      </w:r>
      <w:r w:rsidR="005146FA" w:rsidRPr="00653D9D">
        <w:t>12</w:t>
      </w:r>
      <w:r w:rsidR="0047439E" w:rsidRPr="00653D9D">
        <w:t>] and</w:t>
      </w:r>
      <w:r w:rsidRPr="00653D9D">
        <w:t xml:space="preserve"> [</w:t>
      </w:r>
      <w:r w:rsidR="002E33B8" w:rsidRPr="00653D9D">
        <w:t>1</w:t>
      </w:r>
      <w:r w:rsidR="00C8535C">
        <w:t>6</w:t>
      </w:r>
      <w:r w:rsidRPr="00653D9D">
        <w:t xml:space="preserve">] </w:t>
      </w:r>
      <w:r w:rsidR="005146FA" w:rsidRPr="00653D9D">
        <w:t xml:space="preserve">to [19] </w:t>
      </w:r>
      <w:r w:rsidRPr="00653D9D">
        <w:t>include amendments to correct minor errors and omissions to text and punctuation</w:t>
      </w:r>
      <w:r w:rsidR="005146FA" w:rsidRPr="00653D9D">
        <w:t>, including correction of cross-referencing</w:t>
      </w:r>
      <w:r w:rsidRPr="00653D9D">
        <w:t xml:space="preserve">.  </w:t>
      </w:r>
    </w:p>
    <w:p w14:paraId="1D86BF8D" w14:textId="77777777" w:rsidR="00AA5E3F" w:rsidRPr="00653D9D" w:rsidRDefault="00AA5E3F" w:rsidP="00AA5E3F">
      <w:pPr>
        <w:rPr>
          <w:lang w:val="en-AU" w:eastAsia="en-GB" w:bidi="ar-SA"/>
        </w:rPr>
      </w:pPr>
    </w:p>
    <w:p w14:paraId="556F56DE" w14:textId="0B8F1801" w:rsidR="00AA5E3F" w:rsidRPr="00653D9D" w:rsidRDefault="00AA5E3F" w:rsidP="00AA5E3F">
      <w:pPr>
        <w:rPr>
          <w:b/>
          <w:i/>
          <w:szCs w:val="22"/>
        </w:rPr>
      </w:pPr>
      <w:r w:rsidRPr="00653D9D">
        <w:rPr>
          <w:b/>
          <w:i/>
          <w:szCs w:val="22"/>
        </w:rPr>
        <w:t>6.</w:t>
      </w:r>
      <w:r w:rsidR="00BE2B4B">
        <w:rPr>
          <w:b/>
          <w:i/>
          <w:szCs w:val="22"/>
        </w:rPr>
        <w:t>2</w:t>
      </w:r>
      <w:r w:rsidRPr="00653D9D">
        <w:rPr>
          <w:b/>
          <w:i/>
          <w:szCs w:val="22"/>
        </w:rPr>
        <w:tab/>
        <w:t>Updating material from international sources</w:t>
      </w:r>
    </w:p>
    <w:p w14:paraId="2B6469E7" w14:textId="77777777" w:rsidR="00AA5E3F" w:rsidRPr="00653D9D" w:rsidRDefault="00AA5E3F" w:rsidP="00AA5E3F"/>
    <w:p w14:paraId="463F81EF" w14:textId="7B7CEAE2" w:rsidR="00AA5E3F" w:rsidRPr="00653D9D" w:rsidRDefault="00AA5E3F" w:rsidP="00AA5E3F">
      <w:r w:rsidRPr="00653D9D">
        <w:t>Items</w:t>
      </w:r>
      <w:r w:rsidR="00DC036B" w:rsidRPr="00653D9D">
        <w:t xml:space="preserve"> </w:t>
      </w:r>
      <w:r w:rsidRPr="00653D9D">
        <w:t>[</w:t>
      </w:r>
      <w:r w:rsidR="005146FA" w:rsidRPr="00653D9D">
        <w:t>13</w:t>
      </w:r>
      <w:r w:rsidRPr="00653D9D">
        <w:t>]</w:t>
      </w:r>
      <w:r w:rsidR="0047439E" w:rsidRPr="00653D9D">
        <w:rPr>
          <w:lang w:val="en-AU" w:eastAsia="en-GB" w:bidi="ar-SA"/>
        </w:rPr>
        <w:t xml:space="preserve"> </w:t>
      </w:r>
      <w:r w:rsidR="00C8535C">
        <w:rPr>
          <w:lang w:val="en-AU" w:eastAsia="en-GB" w:bidi="ar-SA"/>
        </w:rPr>
        <w:t>to</w:t>
      </w:r>
      <w:r w:rsidR="00C8535C" w:rsidRPr="00653D9D">
        <w:rPr>
          <w:lang w:val="en-AU" w:eastAsia="en-GB" w:bidi="ar-SA"/>
        </w:rPr>
        <w:t xml:space="preserve"> </w:t>
      </w:r>
      <w:r w:rsidRPr="00653D9D">
        <w:rPr>
          <w:lang w:val="en-AU" w:eastAsia="en-GB" w:bidi="ar-SA"/>
        </w:rPr>
        <w:t>[</w:t>
      </w:r>
      <w:r w:rsidR="005146FA" w:rsidRPr="00653D9D">
        <w:rPr>
          <w:lang w:val="en-AU" w:eastAsia="en-GB" w:bidi="ar-SA"/>
        </w:rPr>
        <w:t>1</w:t>
      </w:r>
      <w:r w:rsidR="00C8535C">
        <w:rPr>
          <w:lang w:val="en-AU" w:eastAsia="en-GB" w:bidi="ar-SA"/>
        </w:rPr>
        <w:t>5</w:t>
      </w:r>
      <w:r w:rsidRPr="00653D9D">
        <w:rPr>
          <w:lang w:val="en-AU" w:eastAsia="en-GB" w:bidi="ar-SA"/>
        </w:rPr>
        <w:t xml:space="preserve">] </w:t>
      </w:r>
      <w:r w:rsidRPr="00653D9D">
        <w:t xml:space="preserve">reflect changes to </w:t>
      </w:r>
      <w:r w:rsidR="00BE2B4B">
        <w:t>documents</w:t>
      </w:r>
      <w:r w:rsidR="00BE2B4B" w:rsidRPr="00653D9D">
        <w:t xml:space="preserve"> </w:t>
      </w:r>
      <w:r w:rsidRPr="00653D9D">
        <w:t xml:space="preserve">incorporated by reference. </w:t>
      </w:r>
    </w:p>
    <w:p w14:paraId="0D687E73" w14:textId="77777777" w:rsidR="00AA5E3F" w:rsidRPr="00653D9D" w:rsidRDefault="00AA5E3F" w:rsidP="00AA5E3F"/>
    <w:p w14:paraId="7CC7C655" w14:textId="7944BE13" w:rsidR="00AA5E3F" w:rsidRPr="00653D9D" w:rsidRDefault="00AA5E3F" w:rsidP="00AA5E3F">
      <w:pPr>
        <w:rPr>
          <w:b/>
          <w:i/>
          <w:szCs w:val="22"/>
        </w:rPr>
      </w:pPr>
      <w:r w:rsidRPr="00653D9D">
        <w:rPr>
          <w:b/>
          <w:i/>
          <w:szCs w:val="22"/>
        </w:rPr>
        <w:t>6.</w:t>
      </w:r>
      <w:r w:rsidR="00BE2B4B">
        <w:rPr>
          <w:b/>
          <w:i/>
          <w:szCs w:val="22"/>
        </w:rPr>
        <w:t>3</w:t>
      </w:r>
      <w:r w:rsidRPr="00653D9D">
        <w:rPr>
          <w:b/>
          <w:i/>
          <w:szCs w:val="22"/>
        </w:rPr>
        <w:tab/>
        <w:t>Omitting material that is no longer required</w:t>
      </w:r>
    </w:p>
    <w:p w14:paraId="1710B2CD" w14:textId="77777777" w:rsidR="00AA5E3F" w:rsidRPr="00653D9D" w:rsidRDefault="00AA5E3F" w:rsidP="00AA5E3F">
      <w:pPr>
        <w:rPr>
          <w:szCs w:val="22"/>
        </w:rPr>
      </w:pPr>
    </w:p>
    <w:p w14:paraId="76A828FA" w14:textId="71B9B9D1" w:rsidR="00AA5E3F" w:rsidRPr="00653D9D" w:rsidRDefault="00AA5E3F" w:rsidP="00AA5E3F">
      <w:r w:rsidRPr="00653D9D">
        <w:t>Item [</w:t>
      </w:r>
      <w:r w:rsidR="005146FA" w:rsidRPr="00653D9D">
        <w:t>20</w:t>
      </w:r>
      <w:r w:rsidRPr="00653D9D">
        <w:t>] omit</w:t>
      </w:r>
      <w:r w:rsidR="0047439E" w:rsidRPr="00653D9D">
        <w:t>s</w:t>
      </w:r>
      <w:r w:rsidRPr="00653D9D">
        <w:t xml:space="preserve"> </w:t>
      </w:r>
      <w:r w:rsidR="0047439E" w:rsidRPr="00653D9D">
        <w:t xml:space="preserve">an </w:t>
      </w:r>
      <w:r w:rsidR="002E33B8" w:rsidRPr="00653D9D">
        <w:t>erroneous</w:t>
      </w:r>
      <w:r w:rsidR="0047439E" w:rsidRPr="00653D9D">
        <w:t xml:space="preserve"> r</w:t>
      </w:r>
      <w:r w:rsidR="005146FA" w:rsidRPr="00653D9D">
        <w:t>eference to ‘phytylmenoquinone’.</w:t>
      </w:r>
    </w:p>
    <w:p w14:paraId="2C38FC1A" w14:textId="77777777" w:rsidR="00AA5E3F" w:rsidRPr="00653D9D" w:rsidRDefault="00AA5E3F" w:rsidP="00AA5E3F"/>
    <w:p w14:paraId="314F9974" w14:textId="77777777" w:rsidR="00456BD5" w:rsidRPr="00653D9D" w:rsidRDefault="00456BD5" w:rsidP="00456BD5"/>
    <w:p w14:paraId="314F9976" w14:textId="77777777" w:rsidR="00456BD5" w:rsidRPr="00653D9D" w:rsidRDefault="00456BD5" w:rsidP="00456BD5"/>
    <w:p w14:paraId="314F9977" w14:textId="77777777" w:rsidR="00456BD5" w:rsidRPr="00653D9D" w:rsidRDefault="00456BD5" w:rsidP="00456BD5">
      <w:pPr>
        <w:rPr>
          <w:lang w:val="en-AU" w:eastAsia="en-GB" w:bidi="ar-SA"/>
        </w:rPr>
      </w:pPr>
    </w:p>
    <w:p w14:paraId="314F9978" w14:textId="53462A42" w:rsidR="00653D9D" w:rsidRDefault="00653D9D">
      <w:pPr>
        <w:widowControl/>
        <w:rPr>
          <w:rFonts w:cs="Arial"/>
          <w:b/>
          <w:bCs/>
          <w:sz w:val="28"/>
          <w:szCs w:val="22"/>
          <w:lang w:bidi="ar-SA"/>
        </w:rPr>
      </w:pPr>
      <w:r>
        <w:br w:type="page"/>
      </w:r>
    </w:p>
    <w:p w14:paraId="6479B43B" w14:textId="580E812A" w:rsidR="002D2FC9" w:rsidRDefault="00653D9D" w:rsidP="00BE2B4B">
      <w:pPr>
        <w:pStyle w:val="Heading2"/>
        <w:ind w:left="0" w:firstLine="0"/>
      </w:pPr>
      <w:r>
        <w:lastRenderedPageBreak/>
        <w:t xml:space="preserve">Attachment C </w:t>
      </w:r>
      <w:r w:rsidRPr="00653D9D">
        <w:t xml:space="preserve">– Draft variation to the </w:t>
      </w:r>
      <w:r w:rsidRPr="00653D9D">
        <w:rPr>
          <w:i/>
        </w:rPr>
        <w:t xml:space="preserve">Australia New Zealand Food Standards Code </w:t>
      </w:r>
      <w:r w:rsidRPr="00653D9D">
        <w:t>(call for submissions)</w:t>
      </w:r>
      <w:bookmarkStart w:id="123" w:name="_Toc471478813"/>
      <w:bookmarkStart w:id="124" w:name="_Toc471478950"/>
      <w:bookmarkStart w:id="125" w:name="_Ref352846837"/>
      <w:bookmarkStart w:id="126" w:name="_Toc465771725"/>
      <w:bookmarkStart w:id="127" w:name="_Toc11735637"/>
      <w:bookmarkStart w:id="128" w:name="_Toc29883122"/>
      <w:bookmarkStart w:id="129" w:name="_Toc41906809"/>
      <w:bookmarkStart w:id="130" w:name="_Toc41907556"/>
      <w:bookmarkStart w:id="131" w:name="_Toc120358587"/>
      <w:bookmarkStart w:id="132" w:name="_Toc175381446"/>
      <w:bookmarkStart w:id="133" w:name="_Toc175381454"/>
      <w:bookmarkEnd w:id="114"/>
      <w:bookmarkEnd w:id="115"/>
      <w:bookmarkEnd w:id="123"/>
      <w:bookmarkEnd w:id="124"/>
      <w:bookmarkEnd w:id="125"/>
      <w:bookmarkEnd w:id="126"/>
    </w:p>
    <w:bookmarkEnd w:id="127"/>
    <w:bookmarkEnd w:id="128"/>
    <w:bookmarkEnd w:id="129"/>
    <w:bookmarkEnd w:id="130"/>
    <w:bookmarkEnd w:id="131"/>
    <w:bookmarkEnd w:id="132"/>
    <w:bookmarkEnd w:id="133"/>
    <w:p w14:paraId="23E07306" w14:textId="77777777" w:rsidR="00653D9D" w:rsidRPr="00FF4DE6" w:rsidRDefault="00653D9D" w:rsidP="00653D9D">
      <w:pPr>
        <w:tabs>
          <w:tab w:val="left" w:pos="851"/>
        </w:tabs>
        <w:rPr>
          <w:noProof/>
          <w:sz w:val="20"/>
          <w:szCs w:val="20"/>
          <w:lang w:eastAsia="en-AU" w:bidi="ar-SA"/>
        </w:rPr>
      </w:pPr>
      <w:r w:rsidRPr="00FF4DE6">
        <w:rPr>
          <w:noProof/>
          <w:sz w:val="20"/>
          <w:szCs w:val="20"/>
          <w:lang w:eastAsia="en-GB" w:bidi="ar-SA"/>
        </w:rPr>
        <w:drawing>
          <wp:inline distT="0" distB="0" distL="0" distR="0" wp14:anchorId="7B0BEE5F" wp14:editId="13C499FE">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4A96812" w14:textId="77777777" w:rsidR="00653D9D" w:rsidRPr="00FF4DE6" w:rsidRDefault="00653D9D" w:rsidP="00653D9D">
      <w:pPr>
        <w:pBdr>
          <w:bottom w:val="single" w:sz="4" w:space="1" w:color="auto"/>
        </w:pBdr>
        <w:tabs>
          <w:tab w:val="left" w:pos="851"/>
        </w:tabs>
        <w:jc w:val="center"/>
        <w:rPr>
          <w:sz w:val="20"/>
          <w:szCs w:val="20"/>
          <w:lang w:bidi="ar-SA"/>
        </w:rPr>
      </w:pPr>
    </w:p>
    <w:p w14:paraId="220A71E7" w14:textId="77777777" w:rsidR="00653D9D" w:rsidRPr="00FF4DE6" w:rsidRDefault="00653D9D" w:rsidP="00653D9D">
      <w:pPr>
        <w:pBdr>
          <w:bottom w:val="single" w:sz="4" w:space="1" w:color="auto"/>
        </w:pBdr>
        <w:tabs>
          <w:tab w:val="left" w:pos="851"/>
        </w:tabs>
        <w:rPr>
          <w:b/>
          <w:sz w:val="20"/>
          <w:szCs w:val="20"/>
          <w:lang w:bidi="ar-SA"/>
        </w:rPr>
      </w:pPr>
      <w:r w:rsidRPr="00FF4DE6">
        <w:rPr>
          <w:b/>
          <w:sz w:val="20"/>
          <w:szCs w:val="20"/>
          <w:lang w:bidi="ar-SA"/>
        </w:rPr>
        <w:t>Food Standards (Proposal P10</w:t>
      </w:r>
      <w:r>
        <w:rPr>
          <w:b/>
          <w:sz w:val="20"/>
          <w:szCs w:val="20"/>
          <w:lang w:bidi="ar-SA"/>
        </w:rPr>
        <w:t>45</w:t>
      </w:r>
      <w:r w:rsidRPr="00353E2A">
        <w:rPr>
          <w:b/>
          <w:sz w:val="20"/>
          <w:szCs w:val="20"/>
          <w:lang w:bidi="ar-SA"/>
        </w:rPr>
        <w:t xml:space="preserve"> – Code Revision</w:t>
      </w:r>
      <w:r>
        <w:rPr>
          <w:b/>
          <w:sz w:val="20"/>
          <w:szCs w:val="20"/>
          <w:lang w:bidi="ar-SA"/>
        </w:rPr>
        <w:t xml:space="preserve"> (2017)</w:t>
      </w:r>
      <w:r w:rsidRPr="00FF4DE6">
        <w:rPr>
          <w:b/>
          <w:sz w:val="20"/>
          <w:szCs w:val="20"/>
          <w:lang w:bidi="ar-SA"/>
        </w:rPr>
        <w:t>) Variation</w:t>
      </w:r>
    </w:p>
    <w:p w14:paraId="05C06C09" w14:textId="77777777" w:rsidR="00653D9D" w:rsidRPr="00FF4DE6" w:rsidRDefault="00653D9D" w:rsidP="00653D9D">
      <w:pPr>
        <w:pBdr>
          <w:bottom w:val="single" w:sz="4" w:space="1" w:color="auto"/>
        </w:pBdr>
        <w:tabs>
          <w:tab w:val="left" w:pos="851"/>
        </w:tabs>
        <w:rPr>
          <w:b/>
          <w:sz w:val="20"/>
          <w:szCs w:val="20"/>
          <w:lang w:bidi="ar-SA"/>
        </w:rPr>
      </w:pPr>
    </w:p>
    <w:p w14:paraId="41FD42D3" w14:textId="77777777" w:rsidR="00653D9D" w:rsidRPr="00FF4DE6" w:rsidRDefault="00653D9D" w:rsidP="00653D9D">
      <w:pPr>
        <w:tabs>
          <w:tab w:val="left" w:pos="851"/>
        </w:tabs>
        <w:rPr>
          <w:sz w:val="20"/>
          <w:szCs w:val="20"/>
          <w:lang w:bidi="ar-SA"/>
        </w:rPr>
      </w:pPr>
    </w:p>
    <w:p w14:paraId="2BF98347" w14:textId="77777777" w:rsidR="00653D9D" w:rsidRPr="00FF4DE6" w:rsidRDefault="00653D9D" w:rsidP="00653D9D">
      <w:pPr>
        <w:tabs>
          <w:tab w:val="left" w:pos="851"/>
        </w:tabs>
        <w:rPr>
          <w:sz w:val="20"/>
          <w:szCs w:val="20"/>
          <w:lang w:bidi="ar-SA"/>
        </w:rPr>
      </w:pPr>
      <w:r w:rsidRPr="00FF4DE6">
        <w:rPr>
          <w:sz w:val="20"/>
          <w:szCs w:val="20"/>
          <w:lang w:bidi="ar-SA"/>
        </w:rPr>
        <w:t xml:space="preserve">The Board of Food Standards Australia New Zealand gives notice of the making of this variation under section 92 of the </w:t>
      </w:r>
      <w:r w:rsidRPr="00FF4DE6">
        <w:rPr>
          <w:i/>
          <w:sz w:val="20"/>
          <w:szCs w:val="20"/>
          <w:lang w:bidi="ar-SA"/>
        </w:rPr>
        <w:t>Food Standards Australia New Zealand Act 1991</w:t>
      </w:r>
      <w:r w:rsidRPr="00FF4DE6">
        <w:rPr>
          <w:sz w:val="20"/>
          <w:szCs w:val="20"/>
          <w:lang w:bidi="ar-SA"/>
        </w:rPr>
        <w:t>.  The Standard commences on the date specified in clause 3 of this variation.</w:t>
      </w:r>
    </w:p>
    <w:p w14:paraId="1E2E007B" w14:textId="77777777" w:rsidR="00653D9D" w:rsidRPr="00FF4DE6" w:rsidRDefault="00653D9D" w:rsidP="00653D9D">
      <w:pPr>
        <w:tabs>
          <w:tab w:val="left" w:pos="851"/>
        </w:tabs>
        <w:rPr>
          <w:sz w:val="20"/>
          <w:szCs w:val="20"/>
          <w:lang w:bidi="ar-SA"/>
        </w:rPr>
      </w:pPr>
    </w:p>
    <w:p w14:paraId="65D51F4F" w14:textId="77777777" w:rsidR="00653D9D" w:rsidRPr="00FF4DE6" w:rsidRDefault="00653D9D" w:rsidP="00653D9D">
      <w:pPr>
        <w:tabs>
          <w:tab w:val="left" w:pos="851"/>
        </w:tabs>
        <w:rPr>
          <w:sz w:val="20"/>
          <w:szCs w:val="20"/>
          <w:lang w:bidi="ar-SA"/>
        </w:rPr>
      </w:pPr>
      <w:r w:rsidRPr="00FF4DE6">
        <w:rPr>
          <w:sz w:val="20"/>
          <w:szCs w:val="20"/>
          <w:lang w:bidi="ar-SA"/>
        </w:rPr>
        <w:t>Dated [To be completed by Standards Management Officer]</w:t>
      </w:r>
    </w:p>
    <w:p w14:paraId="3C1F157B" w14:textId="77777777" w:rsidR="00653D9D" w:rsidRPr="00FF4DE6" w:rsidRDefault="00653D9D" w:rsidP="00653D9D">
      <w:pPr>
        <w:tabs>
          <w:tab w:val="left" w:pos="851"/>
        </w:tabs>
        <w:rPr>
          <w:sz w:val="20"/>
          <w:szCs w:val="20"/>
          <w:lang w:bidi="ar-SA"/>
        </w:rPr>
      </w:pPr>
    </w:p>
    <w:p w14:paraId="0F87EC39" w14:textId="77777777" w:rsidR="00653D9D" w:rsidRPr="00FF4DE6" w:rsidRDefault="00653D9D" w:rsidP="00653D9D">
      <w:pPr>
        <w:tabs>
          <w:tab w:val="left" w:pos="851"/>
        </w:tabs>
        <w:rPr>
          <w:sz w:val="20"/>
          <w:szCs w:val="20"/>
          <w:lang w:bidi="ar-SA"/>
        </w:rPr>
      </w:pPr>
    </w:p>
    <w:p w14:paraId="6C7E06B2" w14:textId="77777777" w:rsidR="00653D9D" w:rsidRPr="00FF4DE6" w:rsidRDefault="00653D9D" w:rsidP="00653D9D">
      <w:pPr>
        <w:tabs>
          <w:tab w:val="left" w:pos="851"/>
        </w:tabs>
        <w:rPr>
          <w:sz w:val="20"/>
          <w:szCs w:val="20"/>
          <w:lang w:bidi="ar-SA"/>
        </w:rPr>
      </w:pPr>
    </w:p>
    <w:p w14:paraId="39D3B926" w14:textId="77777777" w:rsidR="00653D9D" w:rsidRPr="00FF4DE6" w:rsidRDefault="00653D9D" w:rsidP="00653D9D">
      <w:pPr>
        <w:tabs>
          <w:tab w:val="left" w:pos="851"/>
        </w:tabs>
        <w:rPr>
          <w:sz w:val="20"/>
          <w:szCs w:val="20"/>
          <w:lang w:bidi="ar-SA"/>
        </w:rPr>
      </w:pPr>
    </w:p>
    <w:p w14:paraId="0A72C298" w14:textId="77777777" w:rsidR="00653D9D" w:rsidRPr="00FF4DE6" w:rsidRDefault="00653D9D" w:rsidP="00653D9D">
      <w:pPr>
        <w:tabs>
          <w:tab w:val="left" w:pos="851"/>
        </w:tabs>
        <w:rPr>
          <w:sz w:val="20"/>
          <w:szCs w:val="20"/>
          <w:lang w:bidi="ar-SA"/>
        </w:rPr>
      </w:pPr>
    </w:p>
    <w:p w14:paraId="6FA00840" w14:textId="77777777" w:rsidR="00653D9D" w:rsidRPr="00FF4DE6" w:rsidRDefault="00653D9D" w:rsidP="00653D9D">
      <w:pPr>
        <w:tabs>
          <w:tab w:val="left" w:pos="851"/>
        </w:tabs>
        <w:rPr>
          <w:sz w:val="20"/>
          <w:szCs w:val="20"/>
          <w:lang w:bidi="ar-SA"/>
        </w:rPr>
      </w:pPr>
      <w:r w:rsidRPr="00FF4DE6">
        <w:rPr>
          <w:sz w:val="20"/>
          <w:szCs w:val="20"/>
          <w:lang w:bidi="ar-SA"/>
        </w:rPr>
        <w:t>Standards Management Officer</w:t>
      </w:r>
    </w:p>
    <w:p w14:paraId="69696094" w14:textId="77777777" w:rsidR="00653D9D" w:rsidRPr="00FF4DE6" w:rsidRDefault="00653D9D" w:rsidP="00653D9D">
      <w:pPr>
        <w:tabs>
          <w:tab w:val="left" w:pos="851"/>
        </w:tabs>
        <w:rPr>
          <w:sz w:val="20"/>
          <w:szCs w:val="20"/>
          <w:lang w:bidi="ar-SA"/>
        </w:rPr>
      </w:pPr>
      <w:r w:rsidRPr="00FF4DE6">
        <w:rPr>
          <w:sz w:val="20"/>
          <w:szCs w:val="20"/>
          <w:lang w:bidi="ar-SA"/>
        </w:rPr>
        <w:t>Delegate of the Board of Food Standards Australia New Zealand</w:t>
      </w:r>
    </w:p>
    <w:p w14:paraId="0AAB0C2C" w14:textId="77777777" w:rsidR="00653D9D" w:rsidRPr="00FF4DE6" w:rsidRDefault="00653D9D" w:rsidP="00653D9D">
      <w:pPr>
        <w:tabs>
          <w:tab w:val="left" w:pos="851"/>
        </w:tabs>
        <w:rPr>
          <w:sz w:val="20"/>
          <w:szCs w:val="20"/>
          <w:lang w:bidi="ar-SA"/>
        </w:rPr>
      </w:pPr>
    </w:p>
    <w:p w14:paraId="5EFEB7DE" w14:textId="77777777" w:rsidR="00653D9D" w:rsidRPr="00FF4DE6" w:rsidRDefault="00653D9D" w:rsidP="00653D9D">
      <w:pPr>
        <w:tabs>
          <w:tab w:val="left" w:pos="851"/>
        </w:tabs>
        <w:rPr>
          <w:sz w:val="20"/>
          <w:szCs w:val="20"/>
          <w:lang w:bidi="ar-SA"/>
        </w:rPr>
      </w:pPr>
    </w:p>
    <w:p w14:paraId="6CE0AF37" w14:textId="77777777" w:rsidR="00653D9D" w:rsidRPr="00FF4DE6" w:rsidRDefault="00653D9D" w:rsidP="00653D9D">
      <w:pPr>
        <w:tabs>
          <w:tab w:val="left" w:pos="851"/>
        </w:tabs>
        <w:rPr>
          <w:sz w:val="20"/>
          <w:szCs w:val="20"/>
          <w:lang w:bidi="ar-SA"/>
        </w:rPr>
      </w:pPr>
    </w:p>
    <w:p w14:paraId="02AEBC95" w14:textId="77777777" w:rsidR="00653D9D" w:rsidRPr="00FF4DE6" w:rsidRDefault="00653D9D" w:rsidP="00653D9D">
      <w:pPr>
        <w:tabs>
          <w:tab w:val="left" w:pos="851"/>
        </w:tabs>
        <w:rPr>
          <w:sz w:val="20"/>
          <w:szCs w:val="20"/>
          <w:lang w:bidi="ar-SA"/>
        </w:rPr>
      </w:pPr>
    </w:p>
    <w:p w14:paraId="04854D51" w14:textId="77777777" w:rsidR="00653D9D" w:rsidRPr="00FF4DE6" w:rsidRDefault="00653D9D" w:rsidP="00653D9D">
      <w:pPr>
        <w:tabs>
          <w:tab w:val="left" w:pos="851"/>
        </w:tabs>
        <w:rPr>
          <w:sz w:val="20"/>
          <w:szCs w:val="20"/>
          <w:lang w:bidi="ar-SA"/>
        </w:rPr>
      </w:pPr>
    </w:p>
    <w:p w14:paraId="08F3BDDA" w14:textId="77777777" w:rsidR="00653D9D" w:rsidRPr="00FF4DE6" w:rsidRDefault="00653D9D" w:rsidP="00653D9D">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FF4DE6">
        <w:rPr>
          <w:b/>
          <w:sz w:val="20"/>
          <w:szCs w:val="20"/>
          <w:lang w:bidi="ar-SA"/>
        </w:rPr>
        <w:t xml:space="preserve">Note:  </w:t>
      </w:r>
    </w:p>
    <w:p w14:paraId="09C6F8C2" w14:textId="77777777" w:rsidR="00653D9D" w:rsidRPr="00FF4DE6" w:rsidRDefault="00653D9D" w:rsidP="00653D9D">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3141EEE8" w14:textId="77777777" w:rsidR="00653D9D" w:rsidRPr="00FF4DE6" w:rsidRDefault="00653D9D" w:rsidP="00653D9D">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FF4DE6">
        <w:rPr>
          <w:sz w:val="20"/>
          <w:szCs w:val="20"/>
          <w:lang w:bidi="ar-SA"/>
        </w:rPr>
        <w:t xml:space="preserve">This variation will be published in the Commonwealth of Australia Gazette No. FSC </w:t>
      </w:r>
      <w:r w:rsidRPr="00FF4DE6">
        <w:rPr>
          <w:color w:val="FF0000"/>
          <w:sz w:val="20"/>
          <w:szCs w:val="20"/>
          <w:lang w:bidi="ar-SA"/>
        </w:rPr>
        <w:t>XX on XX Month 20XX</w:t>
      </w:r>
      <w:r w:rsidRPr="00FF4DE6">
        <w:rPr>
          <w:sz w:val="20"/>
          <w:szCs w:val="20"/>
          <w:lang w:bidi="ar-SA"/>
        </w:rPr>
        <w:t xml:space="preserve">. This means that this date is the gazettal date for the purposes of clause 3 of the variation. </w:t>
      </w:r>
    </w:p>
    <w:p w14:paraId="4977060D" w14:textId="77777777" w:rsidR="00653D9D" w:rsidRPr="00FF4DE6" w:rsidRDefault="00653D9D" w:rsidP="00653D9D">
      <w:pPr>
        <w:tabs>
          <w:tab w:val="left" w:pos="851"/>
        </w:tabs>
        <w:rPr>
          <w:sz w:val="20"/>
          <w:szCs w:val="20"/>
          <w:lang w:bidi="ar-SA"/>
        </w:rPr>
      </w:pPr>
    </w:p>
    <w:p w14:paraId="76300B3B" w14:textId="77777777" w:rsidR="00653D9D" w:rsidRPr="00FF4DE6" w:rsidRDefault="00653D9D" w:rsidP="00653D9D">
      <w:pPr>
        <w:widowControl/>
        <w:rPr>
          <w:sz w:val="20"/>
          <w:szCs w:val="20"/>
          <w:lang w:bidi="ar-SA"/>
        </w:rPr>
      </w:pPr>
      <w:r w:rsidRPr="00FF4DE6">
        <w:rPr>
          <w:sz w:val="20"/>
          <w:szCs w:val="20"/>
          <w:lang w:bidi="ar-SA"/>
        </w:rPr>
        <w:br w:type="page"/>
      </w:r>
    </w:p>
    <w:p w14:paraId="2C2BCB40" w14:textId="77777777" w:rsidR="00653D9D" w:rsidRPr="00FF4DE6" w:rsidRDefault="00653D9D" w:rsidP="00653D9D">
      <w:pPr>
        <w:pStyle w:val="FSCDraftingitemheading"/>
      </w:pPr>
      <w:r w:rsidRPr="00FF4DE6">
        <w:lastRenderedPageBreak/>
        <w:t>1</w:t>
      </w:r>
      <w:r w:rsidRPr="00FF4DE6">
        <w:tab/>
        <w:t>Name</w:t>
      </w:r>
    </w:p>
    <w:p w14:paraId="2721109F" w14:textId="77777777" w:rsidR="00653D9D" w:rsidRPr="00FF4DE6" w:rsidRDefault="00653D9D" w:rsidP="00653D9D">
      <w:pPr>
        <w:pStyle w:val="FSCDraftingitem"/>
      </w:pPr>
      <w:r w:rsidRPr="00FF4DE6">
        <w:t xml:space="preserve">This instrument is the </w:t>
      </w:r>
      <w:r w:rsidRPr="00FF4DE6">
        <w:rPr>
          <w:i/>
        </w:rPr>
        <w:t>Food Standards (Proposal P10</w:t>
      </w:r>
      <w:r>
        <w:rPr>
          <w:i/>
        </w:rPr>
        <w:t>45</w:t>
      </w:r>
      <w:r w:rsidRPr="00353E2A">
        <w:rPr>
          <w:i/>
        </w:rPr>
        <w:t xml:space="preserve"> – Code Revision </w:t>
      </w:r>
      <w:r>
        <w:rPr>
          <w:i/>
        </w:rPr>
        <w:t>(2017)</w:t>
      </w:r>
      <w:r w:rsidRPr="00FF4DE6">
        <w:rPr>
          <w:i/>
        </w:rPr>
        <w:t>) Variation</w:t>
      </w:r>
      <w:r w:rsidRPr="00FF4DE6">
        <w:t>.</w:t>
      </w:r>
    </w:p>
    <w:p w14:paraId="3A876A58" w14:textId="77777777" w:rsidR="00653D9D" w:rsidRPr="00FF4DE6" w:rsidRDefault="00653D9D" w:rsidP="00653D9D">
      <w:pPr>
        <w:pStyle w:val="FSCDraftingitemheading"/>
      </w:pPr>
      <w:r w:rsidRPr="00FF4DE6">
        <w:t>2</w:t>
      </w:r>
      <w:r w:rsidRPr="00FF4DE6">
        <w:tab/>
        <w:t xml:space="preserve">Variation to </w:t>
      </w:r>
      <w:r>
        <w:t>s</w:t>
      </w:r>
      <w:r w:rsidRPr="00FF4DE6">
        <w:t>tandards in the</w:t>
      </w:r>
      <w:r w:rsidRPr="001215E1">
        <w:t xml:space="preserve"> </w:t>
      </w:r>
      <w:r w:rsidRPr="00563BEE">
        <w:rPr>
          <w:i/>
        </w:rPr>
        <w:t>Australia New Zealand Food Standards Code</w:t>
      </w:r>
    </w:p>
    <w:p w14:paraId="78078FDA" w14:textId="77777777" w:rsidR="00653D9D" w:rsidRPr="00FF4DE6" w:rsidRDefault="00653D9D" w:rsidP="00653D9D">
      <w:pPr>
        <w:pStyle w:val="FSCDraftingitem"/>
      </w:pPr>
      <w:r w:rsidRPr="00FF4DE6">
        <w:t xml:space="preserve">The Schedule varies Standards in the </w:t>
      </w:r>
      <w:r w:rsidRPr="001215E1">
        <w:rPr>
          <w:i/>
        </w:rPr>
        <w:t>Australia New Zealand Food Standards Code</w:t>
      </w:r>
      <w:r w:rsidRPr="00FF4DE6">
        <w:t>.</w:t>
      </w:r>
    </w:p>
    <w:p w14:paraId="55268EE3" w14:textId="77777777" w:rsidR="00653D9D" w:rsidRPr="00FF4DE6" w:rsidRDefault="00653D9D" w:rsidP="00653D9D">
      <w:pPr>
        <w:pStyle w:val="FSCDraftingitemheading"/>
      </w:pPr>
      <w:r w:rsidRPr="00FF4DE6">
        <w:t>3</w:t>
      </w:r>
      <w:r w:rsidRPr="00FF4DE6">
        <w:tab/>
        <w:t>Commencement</w:t>
      </w:r>
    </w:p>
    <w:p w14:paraId="43447B7F" w14:textId="77777777" w:rsidR="00653D9D" w:rsidRPr="00FF4DE6" w:rsidRDefault="00653D9D" w:rsidP="00653D9D">
      <w:pPr>
        <w:pStyle w:val="FSCDraftingitem"/>
      </w:pPr>
      <w:r w:rsidRPr="00FF4DE6">
        <w:t xml:space="preserve">The variation commences on </w:t>
      </w:r>
      <w:r>
        <w:t>gazettal</w:t>
      </w:r>
      <w:r w:rsidRPr="00FF4DE6">
        <w:t>.</w:t>
      </w:r>
    </w:p>
    <w:p w14:paraId="35429998" w14:textId="77777777" w:rsidR="00653D9D" w:rsidRPr="00FF4DE6" w:rsidRDefault="00653D9D" w:rsidP="00653D9D">
      <w:pPr>
        <w:pStyle w:val="FSCDraftingitemheading"/>
        <w:jc w:val="center"/>
      </w:pPr>
      <w:r w:rsidRPr="00FF4DE6">
        <w:t>SCHEDULE</w:t>
      </w:r>
    </w:p>
    <w:p w14:paraId="570B299E" w14:textId="77777777" w:rsidR="00653D9D" w:rsidRDefault="00653D9D" w:rsidP="00653D9D">
      <w:pPr>
        <w:pStyle w:val="FSCh5Section"/>
      </w:pPr>
      <w:bookmarkStart w:id="134" w:name="_Toc465771702"/>
      <w:bookmarkStart w:id="135" w:name="_Toc419117463"/>
      <w:bookmarkStart w:id="136" w:name="_Ref330223170"/>
      <w:bookmarkStart w:id="137" w:name="_Ref331335621"/>
      <w:r>
        <w:t>Standard 1.1.</w:t>
      </w:r>
      <w:r w:rsidRPr="00FF4DE6">
        <w:t>1</w:t>
      </w:r>
      <w:r>
        <w:t xml:space="preserve"> </w:t>
      </w:r>
      <w:r w:rsidRPr="00FF4DE6">
        <w:t xml:space="preserve">– </w:t>
      </w:r>
      <w:r>
        <w:t>Structure of the Code and general provisions</w:t>
      </w:r>
      <w:r w:rsidRPr="00FF4DE6">
        <w:t xml:space="preserve"> </w:t>
      </w:r>
    </w:p>
    <w:p w14:paraId="62488496" w14:textId="77777777" w:rsidR="00653D9D" w:rsidRDefault="00653D9D" w:rsidP="00653D9D">
      <w:pPr>
        <w:pStyle w:val="FSCDraftingitemheading"/>
      </w:pPr>
      <w:r w:rsidRPr="00FF4DE6">
        <w:t>[</w:t>
      </w:r>
      <w:r>
        <w:t>1</w:t>
      </w:r>
      <w:r w:rsidRPr="00FF4DE6">
        <w:t>]</w:t>
      </w:r>
      <w:r w:rsidRPr="00FF4DE6">
        <w:tab/>
        <w:t>Section 1.</w:t>
      </w:r>
      <w:r>
        <w:t>1</w:t>
      </w:r>
      <w:r w:rsidRPr="00FF4DE6">
        <w:t>.1—</w:t>
      </w:r>
      <w:r>
        <w:t>6</w:t>
      </w:r>
      <w:r w:rsidRPr="00FF4DE6">
        <w:t>(</w:t>
      </w:r>
      <w:r>
        <w:t>1</w:t>
      </w:r>
      <w:r w:rsidRPr="00FF4DE6">
        <w:t>)</w:t>
      </w:r>
    </w:p>
    <w:p w14:paraId="131367CE" w14:textId="77777777" w:rsidR="00653D9D" w:rsidRDefault="00653D9D" w:rsidP="00653D9D">
      <w:pPr>
        <w:pStyle w:val="FSCDraftingitem"/>
      </w:pPr>
      <w:r>
        <w:tab/>
      </w:r>
      <w:r w:rsidRPr="00FF4DE6">
        <w:t>Omit ‘</w:t>
      </w:r>
      <w:r w:rsidRPr="00C854D1">
        <w:rPr>
          <w:b/>
          <w:i/>
        </w:rPr>
        <w:t>average quantity’</w:t>
      </w:r>
      <w:r>
        <w:t>,</w:t>
      </w:r>
      <w:r w:rsidRPr="00FF4DE6">
        <w:t xml:space="preserve"> substitute ‘</w:t>
      </w:r>
      <w:r>
        <w:t>*average quantity’</w:t>
      </w:r>
    </w:p>
    <w:p w14:paraId="6A82003B" w14:textId="77777777" w:rsidR="00653D9D" w:rsidRDefault="00653D9D" w:rsidP="00653D9D">
      <w:pPr>
        <w:pStyle w:val="FSCDraftingitemheading"/>
      </w:pPr>
      <w:r w:rsidRPr="00FF4DE6">
        <w:t>[</w:t>
      </w:r>
      <w:r>
        <w:t>2</w:t>
      </w:r>
      <w:r w:rsidRPr="00FF4DE6">
        <w:t>]</w:t>
      </w:r>
      <w:r w:rsidRPr="00FF4DE6">
        <w:tab/>
        <w:t>Section 1.</w:t>
      </w:r>
      <w:r>
        <w:t>1</w:t>
      </w:r>
      <w:r w:rsidRPr="00FF4DE6">
        <w:t>.1—</w:t>
      </w:r>
      <w:r>
        <w:t>6</w:t>
      </w:r>
      <w:r w:rsidRPr="00FF4DE6">
        <w:t>(</w:t>
      </w:r>
      <w:r>
        <w:t>2</w:t>
      </w:r>
      <w:r w:rsidRPr="00FF4DE6">
        <w:t>)</w:t>
      </w:r>
    </w:p>
    <w:p w14:paraId="184FD2B2" w14:textId="77777777" w:rsidR="00653D9D" w:rsidRDefault="00653D9D" w:rsidP="00653D9D">
      <w:pPr>
        <w:pStyle w:val="FSCDraftingitem"/>
      </w:pPr>
      <w:r>
        <w:tab/>
      </w:r>
      <w:r w:rsidRPr="00FF4DE6">
        <w:t>Omit ‘</w:t>
      </w:r>
      <w:r>
        <w:t>average quantity’ (first appearing),</w:t>
      </w:r>
      <w:r w:rsidRPr="00FF4DE6">
        <w:t xml:space="preserve"> substitute ‘</w:t>
      </w:r>
      <w:r>
        <w:t>*average quantity’</w:t>
      </w:r>
    </w:p>
    <w:p w14:paraId="4952A26C" w14:textId="77777777" w:rsidR="00653D9D" w:rsidRDefault="00653D9D" w:rsidP="00653D9D">
      <w:pPr>
        <w:pStyle w:val="FSCDraftingitemheading"/>
      </w:pPr>
      <w:r w:rsidRPr="00FF4DE6">
        <w:t>[</w:t>
      </w:r>
      <w:r>
        <w:t>3</w:t>
      </w:r>
      <w:r w:rsidRPr="00FF4DE6">
        <w:t>]</w:t>
      </w:r>
      <w:r w:rsidRPr="00FF4DE6">
        <w:tab/>
        <w:t>Section 1.</w:t>
      </w:r>
      <w:r>
        <w:t>1</w:t>
      </w:r>
      <w:r w:rsidRPr="00FF4DE6">
        <w:t>.1—</w:t>
      </w:r>
      <w:r>
        <w:t>11</w:t>
      </w:r>
    </w:p>
    <w:p w14:paraId="022DE613" w14:textId="77777777" w:rsidR="00653D9D" w:rsidRDefault="00653D9D" w:rsidP="00653D9D">
      <w:pPr>
        <w:pStyle w:val="FSCDraftingitem"/>
      </w:pPr>
      <w:r>
        <w:tab/>
      </w:r>
      <w:r w:rsidRPr="00FF4DE6">
        <w:t>Omit ‘</w:t>
      </w:r>
      <w:r>
        <w:t>lot’</w:t>
      </w:r>
      <w:r w:rsidRPr="00FF4DE6">
        <w:t>, substitute ‘</w:t>
      </w:r>
      <w:r>
        <w:t>*lot’</w:t>
      </w:r>
    </w:p>
    <w:p w14:paraId="35E01C67" w14:textId="77777777" w:rsidR="00653D9D" w:rsidRDefault="00653D9D" w:rsidP="00653D9D">
      <w:pPr>
        <w:rPr>
          <w:b/>
        </w:rPr>
      </w:pPr>
      <w:r>
        <w:rPr>
          <w:b/>
        </w:rPr>
        <w:t>Standard 1.1.2 – Definitions used throughout the Code</w:t>
      </w:r>
    </w:p>
    <w:p w14:paraId="71AE696B" w14:textId="77777777" w:rsidR="00653D9D" w:rsidRDefault="00653D9D" w:rsidP="00653D9D">
      <w:pPr>
        <w:pStyle w:val="FSCDraftingitemheading"/>
      </w:pPr>
      <w:r w:rsidRPr="00FF4DE6">
        <w:t>[</w:t>
      </w:r>
      <w:r>
        <w:t>4</w:t>
      </w:r>
      <w:r w:rsidRPr="00FF4DE6">
        <w:t>]</w:t>
      </w:r>
      <w:r w:rsidRPr="00FF4DE6">
        <w:tab/>
      </w:r>
      <w:r>
        <w:t>Paragraph 1.1.2—11(2)(a) Note</w:t>
      </w:r>
    </w:p>
    <w:p w14:paraId="4B0F2216" w14:textId="77777777" w:rsidR="00653D9D" w:rsidRDefault="00653D9D" w:rsidP="00653D9D">
      <w:pPr>
        <w:pStyle w:val="FSCDraftingitem"/>
        <w:rPr>
          <w:b/>
        </w:rPr>
      </w:pPr>
      <w:r>
        <w:tab/>
        <w:t>Omit ‘foods’</w:t>
      </w:r>
    </w:p>
    <w:p w14:paraId="1E9B7558" w14:textId="77777777" w:rsidR="00653D9D" w:rsidRPr="00FF4DE6" w:rsidRDefault="00653D9D" w:rsidP="00653D9D">
      <w:pPr>
        <w:pStyle w:val="FSCh5Section"/>
      </w:pPr>
      <w:r w:rsidRPr="00FF4DE6">
        <w:t>Standard 1.2.1</w:t>
      </w:r>
      <w:r>
        <w:t xml:space="preserve"> </w:t>
      </w:r>
      <w:r w:rsidRPr="00FF4DE6">
        <w:t>– Requirements to have labels or otherwise provide information</w:t>
      </w:r>
      <w:bookmarkEnd w:id="134"/>
    </w:p>
    <w:p w14:paraId="4CF17228" w14:textId="77777777" w:rsidR="00653D9D" w:rsidRPr="00FF4DE6" w:rsidRDefault="00653D9D" w:rsidP="00653D9D">
      <w:pPr>
        <w:pStyle w:val="FSCDraftingitemheading"/>
      </w:pPr>
      <w:r w:rsidRPr="00FF4DE6">
        <w:t>[</w:t>
      </w:r>
      <w:r>
        <w:t>5</w:t>
      </w:r>
      <w:r w:rsidRPr="00FF4DE6">
        <w:t>]</w:t>
      </w:r>
      <w:r w:rsidRPr="00FF4DE6">
        <w:tab/>
        <w:t>Section 1.2.1—9(6)</w:t>
      </w:r>
    </w:p>
    <w:p w14:paraId="65B5436B" w14:textId="77777777" w:rsidR="00653D9D" w:rsidRPr="00FF4DE6" w:rsidRDefault="00653D9D" w:rsidP="00653D9D">
      <w:pPr>
        <w:pStyle w:val="FSCDraftingitem"/>
        <w:ind w:firstLine="851"/>
      </w:pPr>
      <w:r w:rsidRPr="00FF4DE6">
        <w:t>Omit</w:t>
      </w:r>
      <w:r>
        <w:t>, from the heading,</w:t>
      </w:r>
      <w:r w:rsidRPr="00FF4DE6">
        <w:t xml:space="preserve"> ‘</w:t>
      </w:r>
      <w:r>
        <w:t>either accompany or’</w:t>
      </w:r>
    </w:p>
    <w:p w14:paraId="75E8465F" w14:textId="77777777" w:rsidR="00653D9D" w:rsidRPr="00030367" w:rsidRDefault="00653D9D" w:rsidP="00653D9D">
      <w:pPr>
        <w:pStyle w:val="FSCh5Section"/>
      </w:pPr>
      <w:bookmarkStart w:id="138" w:name="_Toc465771706"/>
      <w:r w:rsidRPr="00030367">
        <w:t>Standard 1.2.7</w:t>
      </w:r>
      <w:r>
        <w:t xml:space="preserve"> </w:t>
      </w:r>
      <w:r w:rsidRPr="00FF4DE6">
        <w:t xml:space="preserve">– </w:t>
      </w:r>
      <w:r w:rsidRPr="00030367">
        <w:t>Nutrition, health and related claims</w:t>
      </w:r>
      <w:bookmarkEnd w:id="135"/>
      <w:bookmarkEnd w:id="138"/>
    </w:p>
    <w:p w14:paraId="6AE096EE" w14:textId="77777777" w:rsidR="00653D9D" w:rsidRPr="00FF4DE6" w:rsidRDefault="00653D9D" w:rsidP="00653D9D">
      <w:pPr>
        <w:pStyle w:val="FSCDraftingitemheading"/>
        <w:keepNext/>
      </w:pPr>
      <w:r w:rsidRPr="00FF4DE6">
        <w:t>[</w:t>
      </w:r>
      <w:r>
        <w:t>6</w:t>
      </w:r>
      <w:r w:rsidRPr="00FF4DE6">
        <w:t>]</w:t>
      </w:r>
      <w:r w:rsidRPr="00FF4DE6">
        <w:tab/>
        <w:t>Section 1.2.7—</w:t>
      </w:r>
      <w:r>
        <w:t>17</w:t>
      </w:r>
    </w:p>
    <w:p w14:paraId="450B225F" w14:textId="77777777" w:rsidR="00653D9D" w:rsidRDefault="00653D9D" w:rsidP="00653D9D">
      <w:pPr>
        <w:pStyle w:val="FSCDraftingitem"/>
      </w:pPr>
      <w:r>
        <w:tab/>
        <w:t>Omit the title, substitute</w:t>
      </w:r>
    </w:p>
    <w:p w14:paraId="57325E5E" w14:textId="77777777" w:rsidR="00653D9D" w:rsidRPr="00FF4DE6" w:rsidRDefault="00653D9D" w:rsidP="00653D9D">
      <w:pPr>
        <w:pStyle w:val="FSCh5Section"/>
      </w:pPr>
      <w:r>
        <w:t xml:space="preserve">1.2.7—17 </w:t>
      </w:r>
      <w:r>
        <w:tab/>
        <w:t>Application or proposal to vary the table to section S4—5 taken to be a high level health claims variation</w:t>
      </w:r>
    </w:p>
    <w:p w14:paraId="425B1D68" w14:textId="77777777" w:rsidR="00653D9D" w:rsidRPr="00D44E8E" w:rsidRDefault="00653D9D" w:rsidP="00653D9D">
      <w:pPr>
        <w:pStyle w:val="FSCDraftingitemheading"/>
      </w:pPr>
      <w:r w:rsidRPr="00FF4DE6">
        <w:t>[</w:t>
      </w:r>
      <w:r>
        <w:t>7</w:t>
      </w:r>
      <w:r w:rsidRPr="00FF4DE6">
        <w:t>]</w:t>
      </w:r>
      <w:r w:rsidRPr="00FF4DE6">
        <w:tab/>
      </w:r>
      <w:r>
        <w:t>Subparagraph</w:t>
      </w:r>
      <w:r w:rsidRPr="00FF4DE6">
        <w:t xml:space="preserve"> 1.2.7—18(</w:t>
      </w:r>
      <w:r>
        <w:t>1)(b)(i)</w:t>
      </w:r>
    </w:p>
    <w:p w14:paraId="3C83EFC7" w14:textId="77777777" w:rsidR="00653D9D" w:rsidRDefault="00653D9D" w:rsidP="00653D9D">
      <w:pPr>
        <w:pStyle w:val="FSCDraftingitem"/>
      </w:pPr>
      <w:r>
        <w:tab/>
      </w:r>
      <w:r w:rsidRPr="00FF4DE6">
        <w:t>Omit ‘</w:t>
      </w:r>
      <w:r>
        <w:t>high level health claim’</w:t>
      </w:r>
      <w:r w:rsidRPr="00FF4DE6">
        <w:t>, substitute ‘</w:t>
      </w:r>
      <w:r>
        <w:t xml:space="preserve">*high level health claim’ </w:t>
      </w:r>
    </w:p>
    <w:p w14:paraId="2C928CB2" w14:textId="77777777" w:rsidR="00653D9D" w:rsidRPr="00D44E8E" w:rsidRDefault="00653D9D" w:rsidP="00653D9D">
      <w:pPr>
        <w:pStyle w:val="FSCDraftingitemheading"/>
      </w:pPr>
      <w:r w:rsidRPr="00FF4DE6">
        <w:t>[</w:t>
      </w:r>
      <w:r>
        <w:t>8</w:t>
      </w:r>
      <w:r w:rsidRPr="00FF4DE6">
        <w:t>]</w:t>
      </w:r>
      <w:r w:rsidRPr="00FF4DE6">
        <w:tab/>
      </w:r>
      <w:r>
        <w:t>Subparagraph</w:t>
      </w:r>
      <w:r w:rsidRPr="00FF4DE6">
        <w:t xml:space="preserve"> 1.2.7—18(</w:t>
      </w:r>
      <w:r>
        <w:t>1)(b)(ii)</w:t>
      </w:r>
    </w:p>
    <w:p w14:paraId="0D2C559E" w14:textId="77777777" w:rsidR="00653D9D" w:rsidRDefault="00653D9D" w:rsidP="00653D9D">
      <w:pPr>
        <w:pStyle w:val="FSCDraftingitem"/>
      </w:pPr>
      <w:r>
        <w:tab/>
      </w:r>
      <w:r w:rsidRPr="00FF4DE6">
        <w:t>Omit ‘</w:t>
      </w:r>
      <w:r>
        <w:t>general level health claim</w:t>
      </w:r>
      <w:r w:rsidRPr="00FF4DE6">
        <w:t xml:space="preserve">’, substitute </w:t>
      </w:r>
      <w:r>
        <w:t>‘*general level health claim</w:t>
      </w:r>
      <w:r w:rsidRPr="00FF4DE6">
        <w:t>’</w:t>
      </w:r>
    </w:p>
    <w:p w14:paraId="78DD56C7" w14:textId="77777777" w:rsidR="00653D9D" w:rsidRPr="00FF4DE6" w:rsidRDefault="00653D9D" w:rsidP="00653D9D">
      <w:pPr>
        <w:pStyle w:val="FSCDraftingitemheading"/>
      </w:pPr>
      <w:r w:rsidRPr="00FF4DE6">
        <w:t>[</w:t>
      </w:r>
      <w:r>
        <w:t>9</w:t>
      </w:r>
      <w:r w:rsidRPr="00FF4DE6">
        <w:t>]</w:t>
      </w:r>
      <w:r w:rsidRPr="00FF4DE6">
        <w:tab/>
        <w:t>Section 1.2.7—</w:t>
      </w:r>
      <w:r>
        <w:t>18(2)</w:t>
      </w:r>
    </w:p>
    <w:p w14:paraId="5E56FBF7" w14:textId="77777777" w:rsidR="00653D9D" w:rsidRDefault="00653D9D" w:rsidP="00653D9D">
      <w:pPr>
        <w:pStyle w:val="FSCDraftingitem"/>
      </w:pPr>
      <w:bookmarkStart w:id="139" w:name="_Toc419117464"/>
      <w:r>
        <w:tab/>
      </w:r>
      <w:r w:rsidRPr="00FF4DE6">
        <w:t>Omit ‘</w:t>
      </w:r>
      <w:r>
        <w:t>high level health claims table’</w:t>
      </w:r>
      <w:r w:rsidRPr="00FF4DE6">
        <w:t>, substitute ‘</w:t>
      </w:r>
      <w:r>
        <w:t>*high level health claims table’</w:t>
      </w:r>
    </w:p>
    <w:p w14:paraId="4A0D0D52" w14:textId="77777777" w:rsidR="00653D9D" w:rsidRPr="00FF4DE6" w:rsidRDefault="00653D9D" w:rsidP="00653D9D">
      <w:pPr>
        <w:pStyle w:val="FSCDraftingitemheading"/>
      </w:pPr>
      <w:r w:rsidRPr="00FF4DE6">
        <w:t>[</w:t>
      </w:r>
      <w:r>
        <w:t>10</w:t>
      </w:r>
      <w:r w:rsidRPr="00FF4DE6">
        <w:t>]</w:t>
      </w:r>
      <w:r w:rsidRPr="00FF4DE6">
        <w:tab/>
        <w:t>Section 1.2.7—</w:t>
      </w:r>
      <w:r>
        <w:t>18(4)</w:t>
      </w:r>
    </w:p>
    <w:p w14:paraId="71C4CD6A" w14:textId="77777777" w:rsidR="00653D9D" w:rsidRDefault="00653D9D" w:rsidP="00653D9D">
      <w:pPr>
        <w:pStyle w:val="FSCDraftingitem"/>
      </w:pPr>
      <w:r>
        <w:tab/>
      </w:r>
      <w:r w:rsidRPr="00FF4DE6">
        <w:t>Omit ‘</w:t>
      </w:r>
      <w:r>
        <w:t>special purpose food’</w:t>
      </w:r>
      <w:r w:rsidRPr="00FF4DE6">
        <w:t>, substitute ‘</w:t>
      </w:r>
      <w:r>
        <w:t>*special purpose food’</w:t>
      </w:r>
    </w:p>
    <w:p w14:paraId="2609586A" w14:textId="77777777" w:rsidR="00653D9D" w:rsidRPr="00FF4DE6" w:rsidRDefault="00653D9D" w:rsidP="00653D9D">
      <w:pPr>
        <w:pStyle w:val="FSCDraftingitemheading"/>
      </w:pPr>
      <w:r w:rsidRPr="00FF4DE6">
        <w:t>[</w:t>
      </w:r>
      <w:r>
        <w:t>11</w:t>
      </w:r>
      <w:r w:rsidRPr="00FF4DE6">
        <w:t>]</w:t>
      </w:r>
      <w:r w:rsidRPr="00FF4DE6">
        <w:tab/>
        <w:t>Section 1.2.7—</w:t>
      </w:r>
      <w:r>
        <w:t>19(1)(d)</w:t>
      </w:r>
    </w:p>
    <w:p w14:paraId="4F91AC8E" w14:textId="77777777" w:rsidR="00653D9D" w:rsidRDefault="00653D9D" w:rsidP="00653D9D">
      <w:pPr>
        <w:pStyle w:val="FSCDraftingitem"/>
      </w:pPr>
      <w:r>
        <w:tab/>
      </w:r>
      <w:bookmarkStart w:id="140" w:name="_Toc465771712"/>
      <w:bookmarkStart w:id="141" w:name="_Toc419117474"/>
      <w:bookmarkEnd w:id="139"/>
      <w:r>
        <w:t xml:space="preserve">Omit ‘if requested by </w:t>
      </w:r>
      <w:r w:rsidRPr="001D1563">
        <w:t>a relevant authority, provide records to the *relevant authority</w:t>
      </w:r>
      <w:r>
        <w:t xml:space="preserve">’, substitute ‘if requested by </w:t>
      </w:r>
      <w:r w:rsidRPr="001D1563">
        <w:t xml:space="preserve">a </w:t>
      </w:r>
      <w:r>
        <w:t>*</w:t>
      </w:r>
      <w:r w:rsidRPr="001D1563">
        <w:t>relevant aut</w:t>
      </w:r>
      <w:r>
        <w:t xml:space="preserve">hority, provide records to the </w:t>
      </w:r>
      <w:r w:rsidRPr="001D1563">
        <w:t>relevant authority</w:t>
      </w:r>
      <w:r>
        <w:t>’</w:t>
      </w:r>
    </w:p>
    <w:p w14:paraId="22959975" w14:textId="77777777" w:rsidR="00653D9D" w:rsidRPr="00FF4DE6" w:rsidRDefault="00653D9D" w:rsidP="00653D9D">
      <w:pPr>
        <w:pStyle w:val="FSCh5Section"/>
      </w:pPr>
      <w:r w:rsidRPr="00FF4DE6">
        <w:lastRenderedPageBreak/>
        <w:t>Standard 2.6.</w:t>
      </w:r>
      <w:r>
        <w:t>2</w:t>
      </w:r>
      <w:r w:rsidRPr="00FF4DE6">
        <w:t xml:space="preserve"> – </w:t>
      </w:r>
      <w:bookmarkEnd w:id="140"/>
      <w:r>
        <w:t>Non-alcoholic beverages and brewed soft drinks</w:t>
      </w:r>
    </w:p>
    <w:p w14:paraId="602CD71F" w14:textId="77777777" w:rsidR="00653D9D" w:rsidRPr="00FF4DE6" w:rsidRDefault="00653D9D" w:rsidP="00653D9D">
      <w:pPr>
        <w:pStyle w:val="FSCDraftingitemheading"/>
        <w:keepNext/>
        <w:keepLines/>
      </w:pPr>
      <w:r w:rsidRPr="00FF4DE6">
        <w:t>[</w:t>
      </w:r>
      <w:r>
        <w:t>12</w:t>
      </w:r>
      <w:r w:rsidRPr="00FF4DE6">
        <w:t>]</w:t>
      </w:r>
      <w:r w:rsidRPr="00FF4DE6">
        <w:tab/>
        <w:t>Standard 2.6.</w:t>
      </w:r>
      <w:r>
        <w:t>2—3(3)(a)</w:t>
      </w:r>
    </w:p>
    <w:p w14:paraId="3345B440" w14:textId="77777777" w:rsidR="00653D9D" w:rsidRPr="00FF4DE6" w:rsidRDefault="00653D9D" w:rsidP="00653D9D">
      <w:pPr>
        <w:pStyle w:val="FSCDraftingitem"/>
      </w:pPr>
      <w:r>
        <w:tab/>
      </w:r>
      <w:r w:rsidRPr="00FF4DE6">
        <w:t>Omit ‘</w:t>
      </w:r>
      <w:r w:rsidRPr="00AB312F">
        <w:rPr>
          <w:i/>
        </w:rPr>
        <w:t>4</w:t>
      </w:r>
      <w:r w:rsidRPr="00AB312F">
        <w:rPr>
          <w:i/>
          <w:vertAlign w:val="superscript"/>
        </w:rPr>
        <w:t>th</w:t>
      </w:r>
      <w:r w:rsidRPr="00AB312F">
        <w:rPr>
          <w:i/>
        </w:rPr>
        <w:t xml:space="preserve"> edition, 2011</w:t>
      </w:r>
      <w:r w:rsidRPr="00AB312F">
        <w:t>’</w:t>
      </w:r>
      <w:r w:rsidRPr="00FF4DE6">
        <w:t>, substitute ‘</w:t>
      </w:r>
      <w:r w:rsidRPr="0091245A">
        <w:rPr>
          <w:i/>
        </w:rPr>
        <w:t>4</w:t>
      </w:r>
      <w:r w:rsidRPr="0091245A">
        <w:rPr>
          <w:i/>
          <w:vertAlign w:val="superscript"/>
        </w:rPr>
        <w:t>th</w:t>
      </w:r>
      <w:r w:rsidRPr="0091245A">
        <w:rPr>
          <w:i/>
        </w:rPr>
        <w:t xml:space="preserve"> edition incorporating the first addendum, 2017</w:t>
      </w:r>
      <w:r>
        <w:t>’</w:t>
      </w:r>
    </w:p>
    <w:p w14:paraId="1420DBFC" w14:textId="77777777" w:rsidR="00653D9D" w:rsidRDefault="00653D9D" w:rsidP="00653D9D">
      <w:pPr>
        <w:pStyle w:val="FSCh5Section"/>
      </w:pPr>
      <w:bookmarkStart w:id="142" w:name="_Toc419117479"/>
      <w:bookmarkStart w:id="143" w:name="_Toc465771722"/>
      <w:bookmarkEnd w:id="141"/>
      <w:r>
        <w:t>Schedule 3</w:t>
      </w:r>
      <w:r>
        <w:tab/>
        <w:t>Identity and purity</w:t>
      </w:r>
    </w:p>
    <w:p w14:paraId="4BA41921" w14:textId="77777777" w:rsidR="00653D9D" w:rsidRDefault="00653D9D" w:rsidP="00653D9D">
      <w:pPr>
        <w:pStyle w:val="FSCDraftingitemheading"/>
      </w:pPr>
      <w:r w:rsidRPr="00FF4DE6">
        <w:t>[</w:t>
      </w:r>
      <w:r>
        <w:t>13</w:t>
      </w:r>
      <w:r w:rsidRPr="00FF4DE6">
        <w:t>]</w:t>
      </w:r>
      <w:r>
        <w:tab/>
        <w:t>Paragraph S3—2(1)(b)</w:t>
      </w:r>
    </w:p>
    <w:p w14:paraId="7164E4DF" w14:textId="77777777" w:rsidR="00653D9D" w:rsidRPr="007D6943" w:rsidRDefault="00653D9D" w:rsidP="00653D9D">
      <w:pPr>
        <w:pStyle w:val="FSCDraftingitem"/>
      </w:pPr>
      <w:r>
        <w:tab/>
      </w:r>
      <w:r w:rsidRPr="007D6943">
        <w:t xml:space="preserve">Omit </w:t>
      </w:r>
      <w:r>
        <w:t>‘</w:t>
      </w:r>
      <w:r w:rsidRPr="001D1563">
        <w:t>(</w:t>
      </w:r>
      <w:r>
        <w:t>x</w:t>
      </w:r>
      <w:r w:rsidRPr="001D1563">
        <w:t>)</w:t>
      </w:r>
      <w:r w:rsidRPr="001D1563">
        <w:tab/>
        <w:t>FAO JECFA Monographs 1</w:t>
      </w:r>
      <w:r>
        <w:t>7</w:t>
      </w:r>
      <w:r w:rsidRPr="001D1563">
        <w:t xml:space="preserve"> (201</w:t>
      </w:r>
      <w:r>
        <w:t>5</w:t>
      </w:r>
      <w:r w:rsidRPr="001D1563">
        <w:t>); or</w:t>
      </w:r>
      <w:r>
        <w:t>’</w:t>
      </w:r>
      <w:r w:rsidRPr="007D6943">
        <w:t xml:space="preserve">, substitute </w:t>
      </w:r>
    </w:p>
    <w:p w14:paraId="46AD2FB4" w14:textId="77777777" w:rsidR="00653D9D" w:rsidRPr="007D6943" w:rsidRDefault="00653D9D" w:rsidP="00653D9D">
      <w:pPr>
        <w:pStyle w:val="FSCtPara"/>
      </w:pPr>
      <w:r>
        <w:tab/>
        <w:t>‘</w:t>
      </w:r>
      <w:r w:rsidRPr="007D6943">
        <w:t xml:space="preserve">(x) </w:t>
      </w:r>
      <w:r w:rsidRPr="007D6943">
        <w:tab/>
        <w:t>FAO JECFA Monographs 17 (2015);</w:t>
      </w:r>
    </w:p>
    <w:p w14:paraId="7D0BED6B" w14:textId="77777777" w:rsidR="00653D9D" w:rsidRDefault="00653D9D" w:rsidP="00653D9D">
      <w:pPr>
        <w:pStyle w:val="FSCtPara"/>
      </w:pPr>
      <w:r>
        <w:tab/>
        <w:t>(xi)</w:t>
      </w:r>
      <w:r>
        <w:tab/>
        <w:t>FAO JECFA Monographs 19 (2016); or’</w:t>
      </w:r>
      <w:r w:rsidRPr="00FF4DE6">
        <w:t xml:space="preserve"> </w:t>
      </w:r>
    </w:p>
    <w:p w14:paraId="4DA02AB1" w14:textId="77777777" w:rsidR="00653D9D" w:rsidRPr="00FF4DE6" w:rsidRDefault="00653D9D" w:rsidP="00653D9D">
      <w:pPr>
        <w:pStyle w:val="FSCDraftingitemheading"/>
      </w:pPr>
      <w:r>
        <w:t>[14]</w:t>
      </w:r>
      <w:r>
        <w:tab/>
        <w:t>Paragraph</w:t>
      </w:r>
      <w:r w:rsidRPr="00FF4DE6">
        <w:t xml:space="preserve"> S</w:t>
      </w:r>
      <w:r>
        <w:t>3</w:t>
      </w:r>
      <w:r w:rsidRPr="00FF4DE6">
        <w:t>—</w:t>
      </w:r>
      <w:r>
        <w:t>3(j)</w:t>
      </w:r>
    </w:p>
    <w:p w14:paraId="149295B4" w14:textId="77777777" w:rsidR="00653D9D" w:rsidRPr="007D6943" w:rsidRDefault="00653D9D" w:rsidP="00653D9D">
      <w:pPr>
        <w:pStyle w:val="FSCDraftingitem"/>
      </w:pPr>
      <w:r>
        <w:tab/>
      </w:r>
      <w:r w:rsidRPr="007D6943">
        <w:t>Omit ‘(201</w:t>
      </w:r>
      <w:r>
        <w:t>6</w:t>
      </w:r>
      <w:r w:rsidRPr="007D6943">
        <w:t>)</w:t>
      </w:r>
      <w:r>
        <w:t>’</w:t>
      </w:r>
      <w:r w:rsidRPr="007D6943">
        <w:t xml:space="preserve">, substitute </w:t>
      </w:r>
      <w:r>
        <w:t>‘</w:t>
      </w:r>
      <w:r w:rsidRPr="007D6943">
        <w:t>(2017)’</w:t>
      </w:r>
    </w:p>
    <w:p w14:paraId="5685E638" w14:textId="77777777" w:rsidR="00653D9D" w:rsidRPr="00FF4DE6" w:rsidRDefault="00653D9D" w:rsidP="00653D9D">
      <w:pPr>
        <w:pStyle w:val="FSCh5Section"/>
      </w:pPr>
      <w:r w:rsidRPr="00FF4DE6">
        <w:t xml:space="preserve">Schedule 4 – </w:t>
      </w:r>
      <w:bookmarkEnd w:id="142"/>
      <w:r w:rsidRPr="00FF4DE6">
        <w:t>Nutrition, health and related claims</w:t>
      </w:r>
      <w:bookmarkEnd w:id="143"/>
    </w:p>
    <w:p w14:paraId="69DDC54A" w14:textId="77777777" w:rsidR="00653D9D" w:rsidRPr="00FF4DE6" w:rsidRDefault="00653D9D" w:rsidP="00653D9D">
      <w:pPr>
        <w:pStyle w:val="FSCDraftingitemheading"/>
      </w:pPr>
      <w:r w:rsidRPr="00FF4DE6">
        <w:t>[</w:t>
      </w:r>
      <w:r>
        <w:t>15</w:t>
      </w:r>
      <w:r w:rsidRPr="00FF4DE6">
        <w:t>]</w:t>
      </w:r>
      <w:r w:rsidRPr="00FF4DE6">
        <w:tab/>
        <w:t>Section S4—</w:t>
      </w:r>
      <w:r>
        <w:t>3</w:t>
      </w:r>
    </w:p>
    <w:p w14:paraId="7BE684A4" w14:textId="77777777" w:rsidR="00653D9D" w:rsidRPr="00FF4DE6" w:rsidRDefault="00653D9D" w:rsidP="00653D9D">
      <w:pPr>
        <w:pStyle w:val="FSCDraftingitem"/>
        <w:ind w:firstLine="851"/>
      </w:pPr>
      <w:r>
        <w:t>Insert, after the entry for m</w:t>
      </w:r>
      <w:r w:rsidRPr="00A40498">
        <w:t>ono-unsaturated fatty acids</w:t>
      </w: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19"/>
        <w:gridCol w:w="1559"/>
        <w:gridCol w:w="3152"/>
      </w:tblGrid>
      <w:tr w:rsidR="00653D9D" w:rsidRPr="001D1563" w14:paraId="08A46AE8" w14:textId="77777777" w:rsidTr="00663713">
        <w:trPr>
          <w:cantSplit/>
        </w:trPr>
        <w:tc>
          <w:tcPr>
            <w:tcW w:w="1542" w:type="dxa"/>
            <w:tcBorders>
              <w:top w:val="single" w:sz="6" w:space="0" w:color="auto"/>
              <w:left w:val="nil"/>
              <w:bottom w:val="single" w:sz="6" w:space="0" w:color="auto"/>
              <w:right w:val="nil"/>
            </w:tcBorders>
            <w:hideMark/>
          </w:tcPr>
          <w:p w14:paraId="557B82D6" w14:textId="77777777" w:rsidR="00653D9D" w:rsidRPr="001D1563" w:rsidRDefault="00653D9D" w:rsidP="00663713">
            <w:pPr>
              <w:pStyle w:val="FSCtblMain"/>
            </w:pPr>
            <w:r>
              <w:t>Omega fatty acids (any)</w:t>
            </w:r>
          </w:p>
        </w:tc>
        <w:tc>
          <w:tcPr>
            <w:tcW w:w="2819" w:type="dxa"/>
            <w:tcBorders>
              <w:top w:val="single" w:sz="6" w:space="0" w:color="auto"/>
              <w:left w:val="nil"/>
              <w:bottom w:val="single" w:sz="6" w:space="0" w:color="auto"/>
              <w:right w:val="nil"/>
            </w:tcBorders>
            <w:hideMark/>
          </w:tcPr>
          <w:p w14:paraId="7E571DEF" w14:textId="77777777" w:rsidR="00653D9D" w:rsidRPr="001D1563" w:rsidRDefault="00653D9D" w:rsidP="00663713">
            <w:pPr>
              <w:pStyle w:val="FSCtblMain"/>
            </w:pPr>
            <w:r w:rsidRPr="001D1563">
              <w:t xml:space="preserve">The </w:t>
            </w:r>
            <w:r>
              <w:t xml:space="preserve">type of omega fatty acid is specified immediately after the </w:t>
            </w:r>
            <w:r w:rsidRPr="001D1563">
              <w:t xml:space="preserve"> </w:t>
            </w:r>
            <w:r>
              <w:t>word ‘omega’</w:t>
            </w:r>
          </w:p>
        </w:tc>
        <w:tc>
          <w:tcPr>
            <w:tcW w:w="1559" w:type="dxa"/>
            <w:tcBorders>
              <w:top w:val="single" w:sz="6" w:space="0" w:color="auto"/>
              <w:left w:val="nil"/>
              <w:bottom w:val="single" w:sz="6" w:space="0" w:color="auto"/>
              <w:right w:val="nil"/>
            </w:tcBorders>
            <w:hideMark/>
          </w:tcPr>
          <w:p w14:paraId="6F2463FD" w14:textId="77777777" w:rsidR="00653D9D" w:rsidRPr="001D1563" w:rsidRDefault="00653D9D" w:rsidP="00663713">
            <w:pPr>
              <w:pStyle w:val="FSCtblMain"/>
            </w:pPr>
          </w:p>
        </w:tc>
        <w:tc>
          <w:tcPr>
            <w:tcW w:w="3152" w:type="dxa"/>
            <w:tcBorders>
              <w:top w:val="single" w:sz="6" w:space="0" w:color="auto"/>
              <w:left w:val="nil"/>
              <w:bottom w:val="single" w:sz="6" w:space="0" w:color="auto"/>
              <w:right w:val="nil"/>
            </w:tcBorders>
          </w:tcPr>
          <w:p w14:paraId="621CDF03" w14:textId="77777777" w:rsidR="00653D9D" w:rsidRPr="001D1563" w:rsidRDefault="00653D9D" w:rsidP="00663713">
            <w:pPr>
              <w:pStyle w:val="FSCtblPara"/>
            </w:pPr>
          </w:p>
        </w:tc>
      </w:tr>
    </w:tbl>
    <w:p w14:paraId="26A60094" w14:textId="77777777" w:rsidR="00653D9D" w:rsidRDefault="00653D9D" w:rsidP="00653D9D">
      <w:pPr>
        <w:pStyle w:val="FSCh5Section"/>
      </w:pPr>
      <w:bookmarkStart w:id="144" w:name="_Toc465771739"/>
      <w:r>
        <w:t xml:space="preserve">Schedule 5 </w:t>
      </w:r>
      <w:r w:rsidRPr="00FF4DE6">
        <w:t xml:space="preserve">– </w:t>
      </w:r>
      <w:r>
        <w:t>Nutrient profile scoring method</w:t>
      </w:r>
    </w:p>
    <w:p w14:paraId="4970ED61" w14:textId="77777777" w:rsidR="00653D9D" w:rsidRDefault="00653D9D" w:rsidP="00653D9D">
      <w:pPr>
        <w:pStyle w:val="FSCDraftingitemheading"/>
      </w:pPr>
      <w:r>
        <w:t>[16]</w:t>
      </w:r>
      <w:r>
        <w:tab/>
        <w:t xml:space="preserve">Section S5—3 </w:t>
      </w:r>
    </w:p>
    <w:p w14:paraId="0C4F843F" w14:textId="77777777" w:rsidR="00653D9D" w:rsidRDefault="00653D9D" w:rsidP="00653D9D">
      <w:pPr>
        <w:pStyle w:val="FSCDraftingitem"/>
      </w:pPr>
      <w:r>
        <w:tab/>
        <w:t>Omit ‘</w:t>
      </w:r>
      <w:r w:rsidRPr="001D1563">
        <w:t>(based on the units used in the nutrition information panel)</w:t>
      </w:r>
      <w:r>
        <w:t>’</w:t>
      </w:r>
    </w:p>
    <w:p w14:paraId="61912ED7" w14:textId="77777777" w:rsidR="00653D9D" w:rsidRDefault="00653D9D" w:rsidP="00653D9D">
      <w:pPr>
        <w:pStyle w:val="FSCDraftingitemheading"/>
      </w:pPr>
      <w:r>
        <w:t xml:space="preserve">[17] </w:t>
      </w:r>
      <w:r>
        <w:tab/>
        <w:t xml:space="preserve">Section S5—5 </w:t>
      </w:r>
    </w:p>
    <w:p w14:paraId="19BED2A9" w14:textId="77777777" w:rsidR="00653D9D" w:rsidRDefault="00653D9D" w:rsidP="00653D9D">
      <w:pPr>
        <w:pStyle w:val="FSCDraftingitem"/>
      </w:pPr>
      <w:r>
        <w:tab/>
        <w:t>Omit the section, substitute</w:t>
      </w:r>
    </w:p>
    <w:p w14:paraId="48A46E18" w14:textId="77777777" w:rsidR="00653D9D" w:rsidRPr="00A5655C" w:rsidRDefault="00653D9D" w:rsidP="00653D9D">
      <w:pPr>
        <w:pStyle w:val="FSCh5Section"/>
      </w:pPr>
      <w:r w:rsidRPr="00A5655C">
        <w:t>S5—5</w:t>
      </w:r>
      <w:r>
        <w:tab/>
      </w:r>
      <w:r w:rsidRPr="00A5655C">
        <w:t>Protein points (P points)</w:t>
      </w:r>
    </w:p>
    <w:p w14:paraId="67205A3F" w14:textId="77777777" w:rsidR="00653D9D" w:rsidRPr="00A5655C" w:rsidRDefault="00653D9D" w:rsidP="00653D9D">
      <w:pPr>
        <w:pStyle w:val="FSCtMain"/>
        <w:rPr>
          <w:lang w:val="en-AU"/>
        </w:rPr>
      </w:pPr>
      <w:r>
        <w:tab/>
      </w:r>
      <w:r w:rsidRPr="00A5655C">
        <w:t>(1)</w:t>
      </w:r>
      <w:r>
        <w:tab/>
      </w:r>
      <w:r w:rsidRPr="00A5655C">
        <w:rPr>
          <w:lang w:val="en-AU"/>
        </w:rPr>
        <w:t>Use Table 4 to determine the ‘P points’ scored, depending on the *average quantity of protein in a *unit quantity of the food. A maximum of five points can be awarded.</w:t>
      </w:r>
    </w:p>
    <w:p w14:paraId="5F330052" w14:textId="77777777" w:rsidR="00653D9D" w:rsidRPr="00A5655C" w:rsidRDefault="00653D9D" w:rsidP="00653D9D">
      <w:pPr>
        <w:pStyle w:val="FSCtMain"/>
      </w:pPr>
      <w:r>
        <w:tab/>
      </w:r>
      <w:r w:rsidRPr="00A5655C">
        <w:t>(2)</w:t>
      </w:r>
      <w:r>
        <w:tab/>
      </w:r>
      <w:r w:rsidRPr="00A5655C">
        <w:t>Foods that score ≥ 13 baseline points are not permitted to score points for protein unless they score five or more V points.</w:t>
      </w:r>
    </w:p>
    <w:p w14:paraId="42A03709" w14:textId="77777777" w:rsidR="00653D9D" w:rsidRPr="00A5655C" w:rsidRDefault="00653D9D" w:rsidP="00653D9D">
      <w:pPr>
        <w:pStyle w:val="FSCtblh2"/>
        <w:rPr>
          <w:color w:val="auto"/>
        </w:rPr>
      </w:pPr>
      <w:r w:rsidRPr="00A5655C">
        <w:rPr>
          <w:color w:val="auto"/>
        </w:rPr>
        <w:t>Table 4—P Points</w:t>
      </w:r>
    </w:p>
    <w:tbl>
      <w:tblPr>
        <w:tblW w:w="3402" w:type="dxa"/>
        <w:jc w:val="center"/>
        <w:tblCellMar>
          <w:left w:w="0" w:type="dxa"/>
          <w:right w:w="0" w:type="dxa"/>
        </w:tblCellMar>
        <w:tblLook w:val="04A0" w:firstRow="1" w:lastRow="0" w:firstColumn="1" w:lastColumn="0" w:noHBand="0" w:noVBand="1"/>
      </w:tblPr>
      <w:tblGrid>
        <w:gridCol w:w="1677"/>
        <w:gridCol w:w="1725"/>
      </w:tblGrid>
      <w:tr w:rsidR="00653D9D" w:rsidRPr="00A5655C" w14:paraId="7F0BDA42" w14:textId="77777777" w:rsidTr="00663713">
        <w:trPr>
          <w:jc w:val="center"/>
        </w:trPr>
        <w:tc>
          <w:tcPr>
            <w:tcW w:w="1677" w:type="dxa"/>
            <w:tcBorders>
              <w:top w:val="single" w:sz="8" w:space="0" w:color="auto"/>
              <w:left w:val="nil"/>
              <w:bottom w:val="single" w:sz="8" w:space="0" w:color="auto"/>
              <w:right w:val="nil"/>
            </w:tcBorders>
            <w:tcMar>
              <w:top w:w="0" w:type="dxa"/>
              <w:left w:w="108" w:type="dxa"/>
              <w:bottom w:w="0" w:type="dxa"/>
              <w:right w:w="108" w:type="dxa"/>
            </w:tcMar>
            <w:hideMark/>
          </w:tcPr>
          <w:p w14:paraId="176C27AB" w14:textId="77777777" w:rsidR="00653D9D" w:rsidRPr="00A5655C" w:rsidRDefault="00653D9D" w:rsidP="00663713">
            <w:pPr>
              <w:pStyle w:val="FSCtblh3"/>
              <w:rPr>
                <w:lang w:val="en-AU" w:eastAsia="en-US"/>
              </w:rPr>
            </w:pPr>
            <w:r w:rsidRPr="00A5655C">
              <w:rPr>
                <w:lang w:val="en-AU"/>
              </w:rPr>
              <w:t>Points</w:t>
            </w:r>
          </w:p>
        </w:tc>
        <w:tc>
          <w:tcPr>
            <w:tcW w:w="1725" w:type="dxa"/>
            <w:tcBorders>
              <w:top w:val="single" w:sz="8" w:space="0" w:color="auto"/>
              <w:left w:val="nil"/>
              <w:bottom w:val="single" w:sz="8" w:space="0" w:color="auto"/>
              <w:right w:val="nil"/>
            </w:tcBorders>
            <w:tcMar>
              <w:top w:w="0" w:type="dxa"/>
              <w:left w:w="108" w:type="dxa"/>
              <w:bottom w:w="0" w:type="dxa"/>
              <w:right w:w="108" w:type="dxa"/>
            </w:tcMar>
            <w:hideMark/>
          </w:tcPr>
          <w:p w14:paraId="2B3A84F8" w14:textId="77777777" w:rsidR="00653D9D" w:rsidRPr="00A5655C" w:rsidRDefault="00653D9D" w:rsidP="00663713">
            <w:pPr>
              <w:pStyle w:val="FSCtblh3"/>
              <w:rPr>
                <w:lang w:val="en-AU" w:eastAsia="en-US"/>
              </w:rPr>
            </w:pPr>
            <w:r w:rsidRPr="00A5655C">
              <w:rPr>
                <w:lang w:val="en-AU"/>
              </w:rPr>
              <w:t>Protein (g) per *unit quantity</w:t>
            </w:r>
          </w:p>
        </w:tc>
      </w:tr>
      <w:tr w:rsidR="00653D9D" w:rsidRPr="00A5655C" w14:paraId="1F0CBAFA" w14:textId="77777777" w:rsidTr="00663713">
        <w:trPr>
          <w:jc w:val="center"/>
        </w:trPr>
        <w:tc>
          <w:tcPr>
            <w:tcW w:w="1677" w:type="dxa"/>
            <w:tcMar>
              <w:top w:w="0" w:type="dxa"/>
              <w:left w:w="108" w:type="dxa"/>
              <w:bottom w:w="0" w:type="dxa"/>
              <w:right w:w="108" w:type="dxa"/>
            </w:tcMar>
            <w:hideMark/>
          </w:tcPr>
          <w:p w14:paraId="04C110B7" w14:textId="77777777" w:rsidR="00653D9D" w:rsidRPr="00A5655C" w:rsidRDefault="00653D9D" w:rsidP="00663713">
            <w:pPr>
              <w:pStyle w:val="FSCtblMain"/>
              <w:rPr>
                <w:lang w:val="en-AU" w:eastAsia="en-US"/>
              </w:rPr>
            </w:pPr>
            <w:r w:rsidRPr="00A5655C">
              <w:rPr>
                <w:lang w:val="en-AU"/>
              </w:rPr>
              <w:t>0</w:t>
            </w:r>
          </w:p>
        </w:tc>
        <w:tc>
          <w:tcPr>
            <w:tcW w:w="1725" w:type="dxa"/>
            <w:tcMar>
              <w:top w:w="0" w:type="dxa"/>
              <w:left w:w="108" w:type="dxa"/>
              <w:bottom w:w="0" w:type="dxa"/>
              <w:right w:w="108" w:type="dxa"/>
            </w:tcMar>
            <w:hideMark/>
          </w:tcPr>
          <w:p w14:paraId="7DAADDD2" w14:textId="77777777" w:rsidR="00653D9D" w:rsidRPr="00A5655C" w:rsidRDefault="00653D9D" w:rsidP="00663713">
            <w:pPr>
              <w:pStyle w:val="FSCtblMainC"/>
              <w:rPr>
                <w:lang w:val="en-AU"/>
              </w:rPr>
            </w:pPr>
            <w:r w:rsidRPr="00A5655C">
              <w:rPr>
                <w:lang w:val="en-AU"/>
              </w:rPr>
              <w:t>≤ 1.6</w:t>
            </w:r>
          </w:p>
        </w:tc>
      </w:tr>
      <w:tr w:rsidR="00653D9D" w:rsidRPr="00A5655C" w14:paraId="2C82316C" w14:textId="77777777" w:rsidTr="00663713">
        <w:trPr>
          <w:jc w:val="center"/>
        </w:trPr>
        <w:tc>
          <w:tcPr>
            <w:tcW w:w="1677" w:type="dxa"/>
            <w:tcMar>
              <w:top w:w="0" w:type="dxa"/>
              <w:left w:w="108" w:type="dxa"/>
              <w:bottom w:w="0" w:type="dxa"/>
              <w:right w:w="108" w:type="dxa"/>
            </w:tcMar>
            <w:hideMark/>
          </w:tcPr>
          <w:p w14:paraId="466DBBB2" w14:textId="77777777" w:rsidR="00653D9D" w:rsidRPr="00A5655C" w:rsidRDefault="00653D9D" w:rsidP="00663713">
            <w:pPr>
              <w:pStyle w:val="FSCtblMain"/>
              <w:rPr>
                <w:lang w:val="en-AU" w:eastAsia="en-US"/>
              </w:rPr>
            </w:pPr>
            <w:r w:rsidRPr="00A5655C">
              <w:rPr>
                <w:lang w:val="en-AU"/>
              </w:rPr>
              <w:t>1</w:t>
            </w:r>
          </w:p>
        </w:tc>
        <w:tc>
          <w:tcPr>
            <w:tcW w:w="1725" w:type="dxa"/>
            <w:tcMar>
              <w:top w:w="0" w:type="dxa"/>
              <w:left w:w="108" w:type="dxa"/>
              <w:bottom w:w="0" w:type="dxa"/>
              <w:right w:w="108" w:type="dxa"/>
            </w:tcMar>
            <w:hideMark/>
          </w:tcPr>
          <w:p w14:paraId="7AC68250" w14:textId="77777777" w:rsidR="00653D9D" w:rsidRPr="00A5655C" w:rsidRDefault="00653D9D" w:rsidP="00663713">
            <w:pPr>
              <w:pStyle w:val="FSCtblMainC"/>
              <w:rPr>
                <w:lang w:val="en-AU"/>
              </w:rPr>
            </w:pPr>
            <w:r w:rsidRPr="00A5655C">
              <w:rPr>
                <w:lang w:val="en-AU"/>
              </w:rPr>
              <w:t>&gt; 1.6</w:t>
            </w:r>
          </w:p>
        </w:tc>
      </w:tr>
      <w:tr w:rsidR="00653D9D" w:rsidRPr="00A5655C" w14:paraId="19F76A01" w14:textId="77777777" w:rsidTr="00663713">
        <w:trPr>
          <w:jc w:val="center"/>
        </w:trPr>
        <w:tc>
          <w:tcPr>
            <w:tcW w:w="1677" w:type="dxa"/>
            <w:tcMar>
              <w:top w:w="0" w:type="dxa"/>
              <w:left w:w="108" w:type="dxa"/>
              <w:bottom w:w="0" w:type="dxa"/>
              <w:right w:w="108" w:type="dxa"/>
            </w:tcMar>
            <w:hideMark/>
          </w:tcPr>
          <w:p w14:paraId="19AEC78A" w14:textId="77777777" w:rsidR="00653D9D" w:rsidRPr="00A5655C" w:rsidRDefault="00653D9D" w:rsidP="00663713">
            <w:pPr>
              <w:pStyle w:val="FSCtblMain"/>
              <w:rPr>
                <w:lang w:val="en-AU" w:eastAsia="en-US"/>
              </w:rPr>
            </w:pPr>
            <w:r w:rsidRPr="00A5655C">
              <w:rPr>
                <w:lang w:val="en-AU"/>
              </w:rPr>
              <w:t>2</w:t>
            </w:r>
          </w:p>
        </w:tc>
        <w:tc>
          <w:tcPr>
            <w:tcW w:w="1725" w:type="dxa"/>
            <w:tcMar>
              <w:top w:w="0" w:type="dxa"/>
              <w:left w:w="108" w:type="dxa"/>
              <w:bottom w:w="0" w:type="dxa"/>
              <w:right w:w="108" w:type="dxa"/>
            </w:tcMar>
            <w:hideMark/>
          </w:tcPr>
          <w:p w14:paraId="6129C1A9" w14:textId="77777777" w:rsidR="00653D9D" w:rsidRPr="00A5655C" w:rsidRDefault="00653D9D" w:rsidP="00663713">
            <w:pPr>
              <w:pStyle w:val="FSCtblMainC"/>
              <w:rPr>
                <w:lang w:val="en-AU"/>
              </w:rPr>
            </w:pPr>
            <w:r w:rsidRPr="00A5655C">
              <w:rPr>
                <w:lang w:val="en-AU"/>
              </w:rPr>
              <w:t>≥ 3.2</w:t>
            </w:r>
          </w:p>
        </w:tc>
      </w:tr>
      <w:tr w:rsidR="00653D9D" w:rsidRPr="00A5655C" w14:paraId="7FD964BE" w14:textId="77777777" w:rsidTr="00663713">
        <w:trPr>
          <w:jc w:val="center"/>
        </w:trPr>
        <w:tc>
          <w:tcPr>
            <w:tcW w:w="1677" w:type="dxa"/>
            <w:tcMar>
              <w:top w:w="0" w:type="dxa"/>
              <w:left w:w="108" w:type="dxa"/>
              <w:bottom w:w="0" w:type="dxa"/>
              <w:right w:w="108" w:type="dxa"/>
            </w:tcMar>
            <w:hideMark/>
          </w:tcPr>
          <w:p w14:paraId="43AA7AA2" w14:textId="77777777" w:rsidR="00653D9D" w:rsidRPr="00A5655C" w:rsidRDefault="00653D9D" w:rsidP="00663713">
            <w:pPr>
              <w:pStyle w:val="FSCtblMain"/>
              <w:rPr>
                <w:lang w:val="en-AU" w:eastAsia="en-US"/>
              </w:rPr>
            </w:pPr>
            <w:r w:rsidRPr="00A5655C">
              <w:rPr>
                <w:lang w:val="en-AU"/>
              </w:rPr>
              <w:t>3</w:t>
            </w:r>
          </w:p>
        </w:tc>
        <w:tc>
          <w:tcPr>
            <w:tcW w:w="1725" w:type="dxa"/>
            <w:tcMar>
              <w:top w:w="0" w:type="dxa"/>
              <w:left w:w="108" w:type="dxa"/>
              <w:bottom w:w="0" w:type="dxa"/>
              <w:right w:w="108" w:type="dxa"/>
            </w:tcMar>
            <w:hideMark/>
          </w:tcPr>
          <w:p w14:paraId="7E2F839F" w14:textId="77777777" w:rsidR="00653D9D" w:rsidRPr="00A5655C" w:rsidRDefault="00653D9D" w:rsidP="00663713">
            <w:pPr>
              <w:pStyle w:val="FSCtblMainC"/>
              <w:rPr>
                <w:lang w:val="en-AU"/>
              </w:rPr>
            </w:pPr>
            <w:r w:rsidRPr="00A5655C">
              <w:rPr>
                <w:lang w:val="en-AU"/>
              </w:rPr>
              <w:t>&gt; 4.8</w:t>
            </w:r>
          </w:p>
        </w:tc>
      </w:tr>
      <w:tr w:rsidR="00653D9D" w:rsidRPr="00A5655C" w14:paraId="5CD72977" w14:textId="77777777" w:rsidTr="00663713">
        <w:trPr>
          <w:jc w:val="center"/>
        </w:trPr>
        <w:tc>
          <w:tcPr>
            <w:tcW w:w="1677" w:type="dxa"/>
            <w:tcMar>
              <w:top w:w="0" w:type="dxa"/>
              <w:left w:w="108" w:type="dxa"/>
              <w:bottom w:w="0" w:type="dxa"/>
              <w:right w:w="108" w:type="dxa"/>
            </w:tcMar>
            <w:hideMark/>
          </w:tcPr>
          <w:p w14:paraId="51FAC223" w14:textId="77777777" w:rsidR="00653D9D" w:rsidRPr="00A5655C" w:rsidRDefault="00653D9D" w:rsidP="00663713">
            <w:pPr>
              <w:pStyle w:val="FSCtblMain"/>
              <w:rPr>
                <w:lang w:val="en-AU" w:eastAsia="en-US"/>
              </w:rPr>
            </w:pPr>
            <w:r w:rsidRPr="00A5655C">
              <w:rPr>
                <w:lang w:val="en-AU"/>
              </w:rPr>
              <w:t>4</w:t>
            </w:r>
          </w:p>
        </w:tc>
        <w:tc>
          <w:tcPr>
            <w:tcW w:w="1725" w:type="dxa"/>
            <w:tcMar>
              <w:top w:w="0" w:type="dxa"/>
              <w:left w:w="108" w:type="dxa"/>
              <w:bottom w:w="0" w:type="dxa"/>
              <w:right w:w="108" w:type="dxa"/>
            </w:tcMar>
            <w:hideMark/>
          </w:tcPr>
          <w:p w14:paraId="1BF68EF6" w14:textId="77777777" w:rsidR="00653D9D" w:rsidRPr="00A5655C" w:rsidRDefault="00653D9D" w:rsidP="00663713">
            <w:pPr>
              <w:pStyle w:val="FSCtblMainC"/>
              <w:rPr>
                <w:lang w:val="en-AU"/>
              </w:rPr>
            </w:pPr>
            <w:r w:rsidRPr="00A5655C">
              <w:rPr>
                <w:lang w:val="en-AU"/>
              </w:rPr>
              <w:t>&gt; 6.4</w:t>
            </w:r>
          </w:p>
        </w:tc>
      </w:tr>
      <w:tr w:rsidR="00653D9D" w:rsidRPr="00A5655C" w14:paraId="5430B4EA" w14:textId="77777777" w:rsidTr="00663713">
        <w:trPr>
          <w:jc w:val="center"/>
        </w:trPr>
        <w:tc>
          <w:tcPr>
            <w:tcW w:w="1677" w:type="dxa"/>
            <w:tcBorders>
              <w:top w:val="nil"/>
              <w:left w:val="nil"/>
              <w:bottom w:val="single" w:sz="8" w:space="0" w:color="auto"/>
              <w:right w:val="nil"/>
            </w:tcBorders>
            <w:tcMar>
              <w:top w:w="0" w:type="dxa"/>
              <w:left w:w="108" w:type="dxa"/>
              <w:bottom w:w="0" w:type="dxa"/>
              <w:right w:w="108" w:type="dxa"/>
            </w:tcMar>
            <w:hideMark/>
          </w:tcPr>
          <w:p w14:paraId="455E999D" w14:textId="77777777" w:rsidR="00653D9D" w:rsidRPr="00A5655C" w:rsidRDefault="00653D9D" w:rsidP="00663713">
            <w:pPr>
              <w:pStyle w:val="FSCtblMain"/>
              <w:rPr>
                <w:lang w:val="en-AU" w:eastAsia="en-US"/>
              </w:rPr>
            </w:pPr>
            <w:r w:rsidRPr="00A5655C">
              <w:rPr>
                <w:lang w:val="en-AU"/>
              </w:rPr>
              <w:t>5</w:t>
            </w:r>
          </w:p>
        </w:tc>
        <w:tc>
          <w:tcPr>
            <w:tcW w:w="1725" w:type="dxa"/>
            <w:tcBorders>
              <w:top w:val="nil"/>
              <w:left w:val="nil"/>
              <w:bottom w:val="single" w:sz="8" w:space="0" w:color="auto"/>
              <w:right w:val="nil"/>
            </w:tcBorders>
            <w:tcMar>
              <w:top w:w="0" w:type="dxa"/>
              <w:left w:w="108" w:type="dxa"/>
              <w:bottom w:w="0" w:type="dxa"/>
              <w:right w:w="108" w:type="dxa"/>
            </w:tcMar>
            <w:hideMark/>
          </w:tcPr>
          <w:p w14:paraId="5937FEA4" w14:textId="77777777" w:rsidR="00653D9D" w:rsidRPr="00A5655C" w:rsidRDefault="00653D9D" w:rsidP="00663713">
            <w:pPr>
              <w:pStyle w:val="FSCtblMainC"/>
              <w:rPr>
                <w:lang w:val="en-AU"/>
              </w:rPr>
            </w:pPr>
            <w:r w:rsidRPr="00A5655C">
              <w:rPr>
                <w:lang w:val="en-AU"/>
              </w:rPr>
              <w:t>&gt; 8.0</w:t>
            </w:r>
          </w:p>
        </w:tc>
      </w:tr>
    </w:tbl>
    <w:p w14:paraId="6B995EF4" w14:textId="77777777" w:rsidR="00653D9D" w:rsidRPr="00A5655C" w:rsidRDefault="00653D9D" w:rsidP="00653D9D">
      <w:pPr>
        <w:pStyle w:val="FSCDraftingitemheading"/>
      </w:pPr>
      <w:r w:rsidRPr="00A5655C">
        <w:t xml:space="preserve">[18] </w:t>
      </w:r>
      <w:r w:rsidRPr="00A5655C">
        <w:tab/>
        <w:t xml:space="preserve">Section S5—6 </w:t>
      </w:r>
    </w:p>
    <w:p w14:paraId="75DCB0B2" w14:textId="77777777" w:rsidR="00653D9D" w:rsidRPr="00A5655C" w:rsidRDefault="00653D9D" w:rsidP="00653D9D">
      <w:pPr>
        <w:pStyle w:val="FSCDraftingitem"/>
      </w:pPr>
      <w:r w:rsidRPr="00A5655C">
        <w:tab/>
        <w:t>Omit the section, substitute</w:t>
      </w:r>
    </w:p>
    <w:p w14:paraId="2E7398D2" w14:textId="77777777" w:rsidR="00653D9D" w:rsidRPr="00A5655C" w:rsidRDefault="00653D9D" w:rsidP="00653D9D">
      <w:pPr>
        <w:pStyle w:val="FSCh5Section"/>
        <w:rPr>
          <w:rFonts w:eastAsiaTheme="minorHAnsi" w:cs="Arial"/>
          <w:szCs w:val="22"/>
        </w:rPr>
      </w:pPr>
      <w:r w:rsidRPr="00A5655C">
        <w:lastRenderedPageBreak/>
        <w:t>S5—6</w:t>
      </w:r>
      <w:r>
        <w:tab/>
      </w:r>
      <w:r w:rsidRPr="00A5655C">
        <w:t>Fibre points (F points)</w:t>
      </w:r>
    </w:p>
    <w:p w14:paraId="23BA8961" w14:textId="77777777" w:rsidR="00653D9D" w:rsidRPr="00A5655C" w:rsidRDefault="00653D9D" w:rsidP="00653D9D">
      <w:pPr>
        <w:pStyle w:val="FSCtMain"/>
      </w:pPr>
      <w:r>
        <w:tab/>
      </w:r>
      <w:r w:rsidRPr="00A5655C">
        <w:t>(1)</w:t>
      </w:r>
      <w:r>
        <w:tab/>
      </w:r>
      <w:r w:rsidRPr="00A5655C">
        <w:rPr>
          <w:lang w:val="en-AU"/>
        </w:rPr>
        <w:t>Use Table 5 to determine the ‘F points’ scored, depending on the *average quantity of *dietary fibre in a *unit quantity of the food. A maximum of five points can be awarded.</w:t>
      </w:r>
    </w:p>
    <w:p w14:paraId="463526F4" w14:textId="77777777" w:rsidR="00653D9D" w:rsidRPr="00A5655C" w:rsidRDefault="00653D9D" w:rsidP="00653D9D">
      <w:pPr>
        <w:pStyle w:val="FSCtMain"/>
        <w:keepNext/>
      </w:pPr>
      <w:r>
        <w:tab/>
      </w:r>
      <w:r w:rsidRPr="00A5655C">
        <w:t>(2)</w:t>
      </w:r>
      <w:r>
        <w:tab/>
      </w:r>
      <w:r w:rsidRPr="00A5655C">
        <w:t>The prescribed method of analysis to determine total *dietary fibre is outlined in S11—4.</w:t>
      </w:r>
    </w:p>
    <w:p w14:paraId="00243AE2" w14:textId="77777777" w:rsidR="00653D9D" w:rsidRPr="00A5655C" w:rsidRDefault="00653D9D" w:rsidP="00653D9D">
      <w:pPr>
        <w:pStyle w:val="FSCtblh2"/>
        <w:rPr>
          <w:color w:val="auto"/>
        </w:rPr>
      </w:pPr>
      <w:r w:rsidRPr="00A5655C">
        <w:rPr>
          <w:color w:val="auto"/>
        </w:rPr>
        <w:t>Table 5—F Points</w:t>
      </w:r>
    </w:p>
    <w:tbl>
      <w:tblPr>
        <w:tblW w:w="3402" w:type="dxa"/>
        <w:jc w:val="center"/>
        <w:tblCellMar>
          <w:left w:w="0" w:type="dxa"/>
          <w:right w:w="0" w:type="dxa"/>
        </w:tblCellMar>
        <w:tblLook w:val="04A0" w:firstRow="1" w:lastRow="0" w:firstColumn="1" w:lastColumn="0" w:noHBand="0" w:noVBand="1"/>
      </w:tblPr>
      <w:tblGrid>
        <w:gridCol w:w="1679"/>
        <w:gridCol w:w="1723"/>
      </w:tblGrid>
      <w:tr w:rsidR="00653D9D" w:rsidRPr="00A5655C" w14:paraId="5DED82DE" w14:textId="77777777" w:rsidTr="00663713">
        <w:trPr>
          <w:jc w:val="center"/>
        </w:trPr>
        <w:tc>
          <w:tcPr>
            <w:tcW w:w="1939" w:type="dxa"/>
            <w:tcBorders>
              <w:top w:val="single" w:sz="8" w:space="0" w:color="auto"/>
              <w:left w:val="nil"/>
              <w:bottom w:val="single" w:sz="8" w:space="0" w:color="auto"/>
              <w:right w:val="nil"/>
            </w:tcBorders>
            <w:tcMar>
              <w:top w:w="0" w:type="dxa"/>
              <w:left w:w="108" w:type="dxa"/>
              <w:bottom w:w="0" w:type="dxa"/>
              <w:right w:w="108" w:type="dxa"/>
            </w:tcMar>
            <w:hideMark/>
          </w:tcPr>
          <w:p w14:paraId="08F39438" w14:textId="77777777" w:rsidR="00653D9D" w:rsidRPr="00A5655C" w:rsidRDefault="00653D9D" w:rsidP="00663713">
            <w:pPr>
              <w:pStyle w:val="FSCtblh3"/>
              <w:rPr>
                <w:lang w:val="en-AU" w:eastAsia="en-US"/>
              </w:rPr>
            </w:pPr>
            <w:r w:rsidRPr="00A5655C">
              <w:rPr>
                <w:lang w:val="en-AU"/>
              </w:rPr>
              <w:t>Points</w:t>
            </w:r>
          </w:p>
        </w:tc>
        <w:tc>
          <w:tcPr>
            <w:tcW w:w="1953" w:type="dxa"/>
            <w:tcBorders>
              <w:top w:val="single" w:sz="8" w:space="0" w:color="auto"/>
              <w:left w:val="nil"/>
              <w:bottom w:val="single" w:sz="8" w:space="0" w:color="auto"/>
              <w:right w:val="nil"/>
            </w:tcBorders>
            <w:tcMar>
              <w:top w:w="0" w:type="dxa"/>
              <w:left w:w="108" w:type="dxa"/>
              <w:bottom w:w="0" w:type="dxa"/>
              <w:right w:w="108" w:type="dxa"/>
            </w:tcMar>
            <w:hideMark/>
          </w:tcPr>
          <w:p w14:paraId="0389F0F4" w14:textId="77777777" w:rsidR="00653D9D" w:rsidRPr="00A5655C" w:rsidRDefault="00653D9D" w:rsidP="00663713">
            <w:pPr>
              <w:pStyle w:val="FSCtblh3"/>
              <w:rPr>
                <w:lang w:val="en-AU" w:eastAsia="en-US"/>
              </w:rPr>
            </w:pPr>
            <w:r w:rsidRPr="00A5655C">
              <w:rPr>
                <w:lang w:val="en-AU"/>
              </w:rPr>
              <w:t>Dietary fibre (g) per *unit quantity</w:t>
            </w:r>
          </w:p>
        </w:tc>
      </w:tr>
      <w:tr w:rsidR="00653D9D" w:rsidRPr="00A5655C" w14:paraId="04927A2B" w14:textId="77777777" w:rsidTr="00663713">
        <w:trPr>
          <w:jc w:val="center"/>
        </w:trPr>
        <w:tc>
          <w:tcPr>
            <w:tcW w:w="1939" w:type="dxa"/>
            <w:tcMar>
              <w:top w:w="0" w:type="dxa"/>
              <w:left w:w="108" w:type="dxa"/>
              <w:bottom w:w="0" w:type="dxa"/>
              <w:right w:w="108" w:type="dxa"/>
            </w:tcMar>
            <w:hideMark/>
          </w:tcPr>
          <w:p w14:paraId="7BC25F1B" w14:textId="77777777" w:rsidR="00653D9D" w:rsidRPr="00A5655C" w:rsidRDefault="00653D9D" w:rsidP="00663713">
            <w:pPr>
              <w:pStyle w:val="FSCtblMain"/>
              <w:rPr>
                <w:lang w:val="en-AU" w:eastAsia="en-US"/>
              </w:rPr>
            </w:pPr>
            <w:r w:rsidRPr="00A5655C">
              <w:rPr>
                <w:lang w:val="en-AU"/>
              </w:rPr>
              <w:t>0</w:t>
            </w:r>
          </w:p>
        </w:tc>
        <w:tc>
          <w:tcPr>
            <w:tcW w:w="1953" w:type="dxa"/>
            <w:tcMar>
              <w:top w:w="0" w:type="dxa"/>
              <w:left w:w="108" w:type="dxa"/>
              <w:bottom w:w="0" w:type="dxa"/>
              <w:right w:w="108" w:type="dxa"/>
            </w:tcMar>
            <w:hideMark/>
          </w:tcPr>
          <w:p w14:paraId="6AC78DA9" w14:textId="77777777" w:rsidR="00653D9D" w:rsidRPr="00A5655C" w:rsidRDefault="00653D9D" w:rsidP="00663713">
            <w:pPr>
              <w:pStyle w:val="FSCtblMainC"/>
              <w:rPr>
                <w:lang w:val="en-AU"/>
              </w:rPr>
            </w:pPr>
            <w:r w:rsidRPr="00A5655C">
              <w:rPr>
                <w:lang w:val="en-AU"/>
              </w:rPr>
              <w:t>≤0.9</w:t>
            </w:r>
          </w:p>
        </w:tc>
      </w:tr>
      <w:tr w:rsidR="00653D9D" w:rsidRPr="00A5655C" w14:paraId="3BEDDA9A" w14:textId="77777777" w:rsidTr="00663713">
        <w:trPr>
          <w:jc w:val="center"/>
        </w:trPr>
        <w:tc>
          <w:tcPr>
            <w:tcW w:w="1939" w:type="dxa"/>
            <w:tcMar>
              <w:top w:w="0" w:type="dxa"/>
              <w:left w:w="108" w:type="dxa"/>
              <w:bottom w:w="0" w:type="dxa"/>
              <w:right w:w="108" w:type="dxa"/>
            </w:tcMar>
            <w:hideMark/>
          </w:tcPr>
          <w:p w14:paraId="02657B26" w14:textId="77777777" w:rsidR="00653D9D" w:rsidRPr="00A5655C" w:rsidRDefault="00653D9D" w:rsidP="00663713">
            <w:pPr>
              <w:pStyle w:val="FSCtblMain"/>
              <w:rPr>
                <w:lang w:val="en-AU" w:eastAsia="en-US"/>
              </w:rPr>
            </w:pPr>
            <w:r w:rsidRPr="00A5655C">
              <w:rPr>
                <w:lang w:val="en-AU"/>
              </w:rPr>
              <w:t>1</w:t>
            </w:r>
          </w:p>
        </w:tc>
        <w:tc>
          <w:tcPr>
            <w:tcW w:w="1953" w:type="dxa"/>
            <w:tcMar>
              <w:top w:w="0" w:type="dxa"/>
              <w:left w:w="108" w:type="dxa"/>
              <w:bottom w:w="0" w:type="dxa"/>
              <w:right w:w="108" w:type="dxa"/>
            </w:tcMar>
            <w:hideMark/>
          </w:tcPr>
          <w:p w14:paraId="0A3204C6" w14:textId="77777777" w:rsidR="00653D9D" w:rsidRPr="00A5655C" w:rsidRDefault="00653D9D" w:rsidP="00663713">
            <w:pPr>
              <w:pStyle w:val="FSCtblMainC"/>
              <w:rPr>
                <w:lang w:val="en-AU"/>
              </w:rPr>
            </w:pPr>
            <w:r w:rsidRPr="00A5655C">
              <w:rPr>
                <w:lang w:val="en-AU"/>
              </w:rPr>
              <w:t>&gt;0.9</w:t>
            </w:r>
          </w:p>
        </w:tc>
      </w:tr>
      <w:tr w:rsidR="00653D9D" w:rsidRPr="00A5655C" w14:paraId="5AF8CB57" w14:textId="77777777" w:rsidTr="00663713">
        <w:trPr>
          <w:jc w:val="center"/>
        </w:trPr>
        <w:tc>
          <w:tcPr>
            <w:tcW w:w="1939" w:type="dxa"/>
            <w:tcMar>
              <w:top w:w="0" w:type="dxa"/>
              <w:left w:w="108" w:type="dxa"/>
              <w:bottom w:w="0" w:type="dxa"/>
              <w:right w:w="108" w:type="dxa"/>
            </w:tcMar>
            <w:hideMark/>
          </w:tcPr>
          <w:p w14:paraId="2EE81908" w14:textId="77777777" w:rsidR="00653D9D" w:rsidRPr="00A5655C" w:rsidRDefault="00653D9D" w:rsidP="00663713">
            <w:pPr>
              <w:pStyle w:val="FSCtblMain"/>
              <w:rPr>
                <w:lang w:val="en-AU" w:eastAsia="en-US"/>
              </w:rPr>
            </w:pPr>
            <w:r w:rsidRPr="00A5655C">
              <w:rPr>
                <w:lang w:val="en-AU"/>
              </w:rPr>
              <w:t>2</w:t>
            </w:r>
          </w:p>
        </w:tc>
        <w:tc>
          <w:tcPr>
            <w:tcW w:w="1953" w:type="dxa"/>
            <w:tcMar>
              <w:top w:w="0" w:type="dxa"/>
              <w:left w:w="108" w:type="dxa"/>
              <w:bottom w:w="0" w:type="dxa"/>
              <w:right w:w="108" w:type="dxa"/>
            </w:tcMar>
            <w:hideMark/>
          </w:tcPr>
          <w:p w14:paraId="19152352" w14:textId="77777777" w:rsidR="00653D9D" w:rsidRPr="00A5655C" w:rsidRDefault="00653D9D" w:rsidP="00663713">
            <w:pPr>
              <w:pStyle w:val="FSCtblMainC"/>
              <w:rPr>
                <w:lang w:val="en-AU"/>
              </w:rPr>
            </w:pPr>
            <w:r w:rsidRPr="00A5655C">
              <w:rPr>
                <w:lang w:val="en-AU"/>
              </w:rPr>
              <w:t>&gt;1.9</w:t>
            </w:r>
          </w:p>
        </w:tc>
      </w:tr>
      <w:tr w:rsidR="00653D9D" w:rsidRPr="00A5655C" w14:paraId="25BA5F62" w14:textId="77777777" w:rsidTr="00663713">
        <w:trPr>
          <w:jc w:val="center"/>
        </w:trPr>
        <w:tc>
          <w:tcPr>
            <w:tcW w:w="1939" w:type="dxa"/>
            <w:tcMar>
              <w:top w:w="0" w:type="dxa"/>
              <w:left w:w="108" w:type="dxa"/>
              <w:bottom w:w="0" w:type="dxa"/>
              <w:right w:w="108" w:type="dxa"/>
            </w:tcMar>
            <w:hideMark/>
          </w:tcPr>
          <w:p w14:paraId="159DBE8C" w14:textId="77777777" w:rsidR="00653D9D" w:rsidRPr="00A5655C" w:rsidRDefault="00653D9D" w:rsidP="00663713">
            <w:pPr>
              <w:pStyle w:val="FSCtblMain"/>
              <w:rPr>
                <w:lang w:val="en-AU" w:eastAsia="en-US"/>
              </w:rPr>
            </w:pPr>
            <w:r w:rsidRPr="00A5655C">
              <w:rPr>
                <w:lang w:val="en-AU"/>
              </w:rPr>
              <w:t>3</w:t>
            </w:r>
          </w:p>
        </w:tc>
        <w:tc>
          <w:tcPr>
            <w:tcW w:w="1953" w:type="dxa"/>
            <w:tcMar>
              <w:top w:w="0" w:type="dxa"/>
              <w:left w:w="108" w:type="dxa"/>
              <w:bottom w:w="0" w:type="dxa"/>
              <w:right w:w="108" w:type="dxa"/>
            </w:tcMar>
            <w:hideMark/>
          </w:tcPr>
          <w:p w14:paraId="5FA3B096" w14:textId="77777777" w:rsidR="00653D9D" w:rsidRPr="00A5655C" w:rsidRDefault="00653D9D" w:rsidP="00663713">
            <w:pPr>
              <w:pStyle w:val="FSCtblMainC"/>
              <w:rPr>
                <w:lang w:val="en-AU"/>
              </w:rPr>
            </w:pPr>
            <w:r w:rsidRPr="00A5655C">
              <w:rPr>
                <w:lang w:val="en-AU"/>
              </w:rPr>
              <w:t>&gt;2.8</w:t>
            </w:r>
          </w:p>
        </w:tc>
      </w:tr>
      <w:tr w:rsidR="00653D9D" w:rsidRPr="00A5655C" w14:paraId="0CDF1276" w14:textId="77777777" w:rsidTr="00663713">
        <w:trPr>
          <w:jc w:val="center"/>
        </w:trPr>
        <w:tc>
          <w:tcPr>
            <w:tcW w:w="1939" w:type="dxa"/>
            <w:tcMar>
              <w:top w:w="0" w:type="dxa"/>
              <w:left w:w="108" w:type="dxa"/>
              <w:bottom w:w="0" w:type="dxa"/>
              <w:right w:w="108" w:type="dxa"/>
            </w:tcMar>
            <w:hideMark/>
          </w:tcPr>
          <w:p w14:paraId="79E9F3DC" w14:textId="77777777" w:rsidR="00653D9D" w:rsidRPr="00A5655C" w:rsidRDefault="00653D9D" w:rsidP="00663713">
            <w:pPr>
              <w:pStyle w:val="FSCtblMain"/>
              <w:rPr>
                <w:lang w:val="en-AU" w:eastAsia="en-US"/>
              </w:rPr>
            </w:pPr>
            <w:r w:rsidRPr="00A5655C">
              <w:rPr>
                <w:lang w:val="en-AU"/>
              </w:rPr>
              <w:t>4</w:t>
            </w:r>
          </w:p>
        </w:tc>
        <w:tc>
          <w:tcPr>
            <w:tcW w:w="1953" w:type="dxa"/>
            <w:tcMar>
              <w:top w:w="0" w:type="dxa"/>
              <w:left w:w="108" w:type="dxa"/>
              <w:bottom w:w="0" w:type="dxa"/>
              <w:right w:w="108" w:type="dxa"/>
            </w:tcMar>
            <w:hideMark/>
          </w:tcPr>
          <w:p w14:paraId="1F3D4725" w14:textId="77777777" w:rsidR="00653D9D" w:rsidRPr="00A5655C" w:rsidRDefault="00653D9D" w:rsidP="00663713">
            <w:pPr>
              <w:pStyle w:val="FSCtblMainC"/>
              <w:rPr>
                <w:lang w:val="en-AU"/>
              </w:rPr>
            </w:pPr>
            <w:r w:rsidRPr="00A5655C">
              <w:rPr>
                <w:lang w:val="en-AU"/>
              </w:rPr>
              <w:t>&gt;3.7</w:t>
            </w:r>
          </w:p>
        </w:tc>
      </w:tr>
      <w:tr w:rsidR="00653D9D" w:rsidRPr="00A5655C" w14:paraId="7EF4BC4D" w14:textId="77777777" w:rsidTr="00663713">
        <w:trPr>
          <w:jc w:val="center"/>
        </w:trPr>
        <w:tc>
          <w:tcPr>
            <w:tcW w:w="1939" w:type="dxa"/>
            <w:tcBorders>
              <w:top w:val="nil"/>
              <w:left w:val="nil"/>
              <w:bottom w:val="single" w:sz="8" w:space="0" w:color="auto"/>
              <w:right w:val="nil"/>
            </w:tcBorders>
            <w:tcMar>
              <w:top w:w="0" w:type="dxa"/>
              <w:left w:w="108" w:type="dxa"/>
              <w:bottom w:w="0" w:type="dxa"/>
              <w:right w:w="108" w:type="dxa"/>
            </w:tcMar>
            <w:hideMark/>
          </w:tcPr>
          <w:p w14:paraId="64D3FF4C" w14:textId="77777777" w:rsidR="00653D9D" w:rsidRPr="00A5655C" w:rsidRDefault="00653D9D" w:rsidP="00663713">
            <w:pPr>
              <w:pStyle w:val="FSCtblMain"/>
              <w:rPr>
                <w:lang w:val="en-AU" w:eastAsia="en-US"/>
              </w:rPr>
            </w:pPr>
            <w:r w:rsidRPr="00A5655C">
              <w:rPr>
                <w:lang w:val="en-AU"/>
              </w:rPr>
              <w:t>5</w:t>
            </w:r>
          </w:p>
        </w:tc>
        <w:tc>
          <w:tcPr>
            <w:tcW w:w="1953" w:type="dxa"/>
            <w:tcBorders>
              <w:top w:val="nil"/>
              <w:left w:val="nil"/>
              <w:bottom w:val="single" w:sz="8" w:space="0" w:color="auto"/>
              <w:right w:val="nil"/>
            </w:tcBorders>
            <w:tcMar>
              <w:top w:w="0" w:type="dxa"/>
              <w:left w:w="108" w:type="dxa"/>
              <w:bottom w:w="0" w:type="dxa"/>
              <w:right w:w="108" w:type="dxa"/>
            </w:tcMar>
            <w:hideMark/>
          </w:tcPr>
          <w:p w14:paraId="33F5FCEC" w14:textId="77777777" w:rsidR="00653D9D" w:rsidRPr="00A5655C" w:rsidRDefault="00653D9D" w:rsidP="00663713">
            <w:pPr>
              <w:pStyle w:val="FSCtblMainC"/>
              <w:rPr>
                <w:lang w:val="en-AU"/>
              </w:rPr>
            </w:pPr>
            <w:r w:rsidRPr="00A5655C">
              <w:rPr>
                <w:lang w:val="en-AU"/>
              </w:rPr>
              <w:t>&gt;4.7</w:t>
            </w:r>
          </w:p>
        </w:tc>
      </w:tr>
    </w:tbl>
    <w:p w14:paraId="0DE8DC9F" w14:textId="77777777" w:rsidR="00653D9D" w:rsidRPr="00A5655C" w:rsidRDefault="00653D9D" w:rsidP="00653D9D">
      <w:pPr>
        <w:pStyle w:val="FSCtMain"/>
        <w:rPr>
          <w:rFonts w:eastAsiaTheme="minorHAnsi"/>
          <w:szCs w:val="20"/>
        </w:rPr>
      </w:pPr>
      <w:r>
        <w:tab/>
      </w:r>
      <w:r w:rsidRPr="00A5655C">
        <w:t>(3)</w:t>
      </w:r>
      <w:r>
        <w:tab/>
      </w:r>
      <w:r w:rsidRPr="00A5655C">
        <w:t>Category 1 foods do not score F points.</w:t>
      </w:r>
    </w:p>
    <w:p w14:paraId="396482F9" w14:textId="77777777" w:rsidR="00653D9D" w:rsidRPr="00A5655C" w:rsidRDefault="00653D9D" w:rsidP="00653D9D">
      <w:pPr>
        <w:pStyle w:val="FSCh5Section"/>
      </w:pPr>
      <w:r w:rsidRPr="00A5655C">
        <w:t>Schedule 29 – Special purpose foods</w:t>
      </w:r>
    </w:p>
    <w:p w14:paraId="600161AC" w14:textId="77777777" w:rsidR="00653D9D" w:rsidRPr="008E43E2" w:rsidRDefault="00653D9D" w:rsidP="00653D9D">
      <w:pPr>
        <w:pStyle w:val="FSCDraftingitemheading"/>
      </w:pPr>
      <w:r>
        <w:t>[19]</w:t>
      </w:r>
      <w:r>
        <w:tab/>
      </w:r>
      <w:bookmarkEnd w:id="144"/>
      <w:r w:rsidRPr="001B5511">
        <w:t>Section S29—</w:t>
      </w:r>
      <w:r>
        <w:t>7 (table)</w:t>
      </w:r>
    </w:p>
    <w:p w14:paraId="300CEDCF" w14:textId="77777777" w:rsidR="00653D9D" w:rsidRPr="001B5511" w:rsidRDefault="00653D9D" w:rsidP="00653D9D">
      <w:pPr>
        <w:pStyle w:val="FSCDraftingitem"/>
        <w:keepNext/>
        <w:keepLines/>
      </w:pPr>
      <w:r>
        <w:tab/>
      </w:r>
      <w:r w:rsidRPr="001B5511">
        <w:t>Omit</w:t>
      </w:r>
      <w:r>
        <w:t xml:space="preserve"> ‘phytylmenoquinone’</w:t>
      </w:r>
    </w:p>
    <w:bookmarkEnd w:id="136"/>
    <w:bookmarkEnd w:id="137"/>
    <w:p w14:paraId="314F997B" w14:textId="0D27505F" w:rsidR="00BD49FF" w:rsidRPr="00EC66BB" w:rsidRDefault="00BD49FF">
      <w:pPr>
        <w:widowControl/>
      </w:pPr>
    </w:p>
    <w:sectPr w:rsidR="00BD49FF" w:rsidRPr="00EC66B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38718" w14:textId="77777777" w:rsidR="00BE2B4B" w:rsidRDefault="00BE2B4B">
      <w:r>
        <w:separator/>
      </w:r>
    </w:p>
    <w:p w14:paraId="127266A2" w14:textId="77777777" w:rsidR="00BE2B4B" w:rsidRDefault="00BE2B4B"/>
  </w:endnote>
  <w:endnote w:type="continuationSeparator" w:id="0">
    <w:p w14:paraId="00F2229D" w14:textId="77777777" w:rsidR="00BE2B4B" w:rsidRDefault="00BE2B4B">
      <w:r>
        <w:continuationSeparator/>
      </w:r>
    </w:p>
    <w:p w14:paraId="64268958" w14:textId="77777777" w:rsidR="00BE2B4B" w:rsidRDefault="00BE2B4B"/>
  </w:endnote>
  <w:endnote w:type="continuationNotice" w:id="1">
    <w:p w14:paraId="2185487D" w14:textId="77777777" w:rsidR="00BE2B4B" w:rsidRDefault="00BE2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99E2" w14:textId="77777777" w:rsidR="00BE2B4B" w:rsidRDefault="00BE2B4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4F99E3" w14:textId="77777777" w:rsidR="00BE2B4B" w:rsidRDefault="00BE2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314F99E4" w14:textId="1F2B206B" w:rsidR="00BE2B4B" w:rsidRDefault="00BE2B4B" w:rsidP="00A671E6">
        <w:pPr>
          <w:pStyle w:val="Footer"/>
          <w:jc w:val="center"/>
        </w:pPr>
        <w:r>
          <w:fldChar w:fldCharType="begin"/>
        </w:r>
        <w:r>
          <w:instrText xml:space="preserve"> PAGE   \* MERGEFORMAT </w:instrText>
        </w:r>
        <w:r>
          <w:fldChar w:fldCharType="separate"/>
        </w:r>
        <w:r w:rsidR="00FB160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CF01F" w14:textId="77777777" w:rsidR="00BE2B4B" w:rsidRDefault="00BE2B4B">
      <w:r>
        <w:separator/>
      </w:r>
    </w:p>
    <w:p w14:paraId="76D482E4" w14:textId="77777777" w:rsidR="00BE2B4B" w:rsidRDefault="00BE2B4B"/>
  </w:footnote>
  <w:footnote w:type="continuationSeparator" w:id="0">
    <w:p w14:paraId="283645E0" w14:textId="77777777" w:rsidR="00BE2B4B" w:rsidRDefault="00BE2B4B">
      <w:r>
        <w:continuationSeparator/>
      </w:r>
    </w:p>
    <w:p w14:paraId="452377A5" w14:textId="77777777" w:rsidR="00BE2B4B" w:rsidRDefault="00BE2B4B"/>
  </w:footnote>
  <w:footnote w:type="continuationNotice" w:id="1">
    <w:p w14:paraId="4AA773BA" w14:textId="77777777" w:rsidR="00BE2B4B" w:rsidRDefault="00BE2B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F99E5" w14:textId="77777777" w:rsidR="00BE2B4B" w:rsidRDefault="00BE2B4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AB2373"/>
    <w:multiLevelType w:val="hybridMultilevel"/>
    <w:tmpl w:val="62060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BFD33E8"/>
    <w:multiLevelType w:val="hybridMultilevel"/>
    <w:tmpl w:val="7728DDD2"/>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382CF8"/>
    <w:multiLevelType w:val="hybridMultilevel"/>
    <w:tmpl w:val="E20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9"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B75F75"/>
    <w:multiLevelType w:val="hybridMultilevel"/>
    <w:tmpl w:val="D1F8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3"/>
  </w:num>
  <w:num w:numId="2">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9"/>
  </w:num>
  <w:num w:numId="14">
    <w:abstractNumId w:val="27"/>
  </w:num>
  <w:num w:numId="15">
    <w:abstractNumId w:val="38"/>
  </w:num>
  <w:num w:numId="16">
    <w:abstractNumId w:val="12"/>
  </w:num>
  <w:num w:numId="17">
    <w:abstractNumId w:val="3"/>
  </w:num>
  <w:num w:numId="18">
    <w:abstractNumId w:val="0"/>
  </w:num>
  <w:num w:numId="19">
    <w:abstractNumId w:val="30"/>
  </w:num>
  <w:num w:numId="20">
    <w:abstractNumId w:val="8"/>
  </w:num>
  <w:num w:numId="21">
    <w:abstractNumId w:val="44"/>
  </w:num>
  <w:num w:numId="22">
    <w:abstractNumId w:val="37"/>
  </w:num>
  <w:num w:numId="23">
    <w:abstractNumId w:val="14"/>
  </w:num>
  <w:num w:numId="24">
    <w:abstractNumId w:val="16"/>
  </w:num>
  <w:num w:numId="25">
    <w:abstractNumId w:val="36"/>
  </w:num>
  <w:num w:numId="26">
    <w:abstractNumId w:val="36"/>
  </w:num>
  <w:num w:numId="27">
    <w:abstractNumId w:val="25"/>
  </w:num>
  <w:num w:numId="28">
    <w:abstractNumId w:val="31"/>
  </w:num>
  <w:num w:numId="29">
    <w:abstractNumId w:val="32"/>
  </w:num>
  <w:num w:numId="30">
    <w:abstractNumId w:val="20"/>
  </w:num>
  <w:num w:numId="31">
    <w:abstractNumId w:val="18"/>
  </w:num>
  <w:num w:numId="32">
    <w:abstractNumId w:val="2"/>
  </w:num>
  <w:num w:numId="33">
    <w:abstractNumId w:val="10"/>
  </w:num>
  <w:num w:numId="34">
    <w:abstractNumId w:val="4"/>
  </w:num>
  <w:num w:numId="35">
    <w:abstractNumId w:val="28"/>
  </w:num>
  <w:num w:numId="36">
    <w:abstractNumId w:val="24"/>
  </w:num>
  <w:num w:numId="37">
    <w:abstractNumId w:val="7"/>
  </w:num>
  <w:num w:numId="38">
    <w:abstractNumId w:val="42"/>
  </w:num>
  <w:num w:numId="39">
    <w:abstractNumId w:val="19"/>
  </w:num>
  <w:num w:numId="40">
    <w:abstractNumId w:val="33"/>
  </w:num>
  <w:num w:numId="41">
    <w:abstractNumId w:val="13"/>
  </w:num>
  <w:num w:numId="42">
    <w:abstractNumId w:val="35"/>
  </w:num>
  <w:num w:numId="43">
    <w:abstractNumId w:val="17"/>
  </w:num>
  <w:num w:numId="44">
    <w:abstractNumId w:val="23"/>
  </w:num>
  <w:num w:numId="45">
    <w:abstractNumId w:val="21"/>
  </w:num>
  <w:num w:numId="46">
    <w:abstractNumId w:val="11"/>
  </w:num>
  <w:num w:numId="47">
    <w:abstractNumId w:val="22"/>
  </w:num>
  <w:num w:numId="48">
    <w:abstractNumId w:val="34"/>
  </w:num>
  <w:num w:numId="49">
    <w:abstractNumId w:val="26"/>
  </w:num>
  <w:num w:numId="50">
    <w:abstractNumId w:val="9"/>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332AE"/>
    <w:rsid w:val="00035FF3"/>
    <w:rsid w:val="000367E0"/>
    <w:rsid w:val="0004051E"/>
    <w:rsid w:val="000418F0"/>
    <w:rsid w:val="00051021"/>
    <w:rsid w:val="000524F0"/>
    <w:rsid w:val="00052D54"/>
    <w:rsid w:val="000576EB"/>
    <w:rsid w:val="00064B2D"/>
    <w:rsid w:val="00065F1F"/>
    <w:rsid w:val="000677A3"/>
    <w:rsid w:val="00076D33"/>
    <w:rsid w:val="00076D3B"/>
    <w:rsid w:val="00077859"/>
    <w:rsid w:val="00077AEA"/>
    <w:rsid w:val="00081B0A"/>
    <w:rsid w:val="000865D5"/>
    <w:rsid w:val="00093C7D"/>
    <w:rsid w:val="000A0E8D"/>
    <w:rsid w:val="000A3D8B"/>
    <w:rsid w:val="000B0F51"/>
    <w:rsid w:val="000B427A"/>
    <w:rsid w:val="000B436E"/>
    <w:rsid w:val="000B6359"/>
    <w:rsid w:val="000B6AF2"/>
    <w:rsid w:val="000B7762"/>
    <w:rsid w:val="000D6FD4"/>
    <w:rsid w:val="000D7847"/>
    <w:rsid w:val="000D7B1C"/>
    <w:rsid w:val="000E0AE4"/>
    <w:rsid w:val="000E1983"/>
    <w:rsid w:val="000E1EA4"/>
    <w:rsid w:val="000E3DBC"/>
    <w:rsid w:val="000E662F"/>
    <w:rsid w:val="000F3CFE"/>
    <w:rsid w:val="000F5CFD"/>
    <w:rsid w:val="000F6568"/>
    <w:rsid w:val="00102819"/>
    <w:rsid w:val="00104544"/>
    <w:rsid w:val="0010778D"/>
    <w:rsid w:val="001122EC"/>
    <w:rsid w:val="0012388D"/>
    <w:rsid w:val="00127254"/>
    <w:rsid w:val="00136B57"/>
    <w:rsid w:val="0014187D"/>
    <w:rsid w:val="00150B54"/>
    <w:rsid w:val="0015187A"/>
    <w:rsid w:val="00157143"/>
    <w:rsid w:val="00166F2A"/>
    <w:rsid w:val="00182C4C"/>
    <w:rsid w:val="001878C5"/>
    <w:rsid w:val="00192E0E"/>
    <w:rsid w:val="0019399D"/>
    <w:rsid w:val="00196F01"/>
    <w:rsid w:val="00197D8D"/>
    <w:rsid w:val="001A1A75"/>
    <w:rsid w:val="001A7074"/>
    <w:rsid w:val="001A7E9A"/>
    <w:rsid w:val="001C27A3"/>
    <w:rsid w:val="001C51DC"/>
    <w:rsid w:val="001C76CF"/>
    <w:rsid w:val="001D16E3"/>
    <w:rsid w:val="001D43F6"/>
    <w:rsid w:val="001D4D87"/>
    <w:rsid w:val="001E09FA"/>
    <w:rsid w:val="001F1766"/>
    <w:rsid w:val="001F7F63"/>
    <w:rsid w:val="00202A6F"/>
    <w:rsid w:val="00202B44"/>
    <w:rsid w:val="00207244"/>
    <w:rsid w:val="0021337A"/>
    <w:rsid w:val="0022197C"/>
    <w:rsid w:val="00221D07"/>
    <w:rsid w:val="00222199"/>
    <w:rsid w:val="00223A20"/>
    <w:rsid w:val="00224E3B"/>
    <w:rsid w:val="00227E4A"/>
    <w:rsid w:val="002360E5"/>
    <w:rsid w:val="00236F9B"/>
    <w:rsid w:val="00240FD8"/>
    <w:rsid w:val="002421C1"/>
    <w:rsid w:val="00250197"/>
    <w:rsid w:val="00255FD7"/>
    <w:rsid w:val="002603BB"/>
    <w:rsid w:val="00266C33"/>
    <w:rsid w:val="002758A0"/>
    <w:rsid w:val="0029204E"/>
    <w:rsid w:val="00292B9B"/>
    <w:rsid w:val="002A0194"/>
    <w:rsid w:val="002A2D5A"/>
    <w:rsid w:val="002A5F8B"/>
    <w:rsid w:val="002A6CA4"/>
    <w:rsid w:val="002A7F6C"/>
    <w:rsid w:val="002B0071"/>
    <w:rsid w:val="002B0E7B"/>
    <w:rsid w:val="002B0EDB"/>
    <w:rsid w:val="002B6544"/>
    <w:rsid w:val="002B7C98"/>
    <w:rsid w:val="002C1A3B"/>
    <w:rsid w:val="002D2FC9"/>
    <w:rsid w:val="002D593F"/>
    <w:rsid w:val="002D5D2C"/>
    <w:rsid w:val="002E16D5"/>
    <w:rsid w:val="002E1820"/>
    <w:rsid w:val="002E33B8"/>
    <w:rsid w:val="002E5B96"/>
    <w:rsid w:val="002F35EA"/>
    <w:rsid w:val="002F3FE9"/>
    <w:rsid w:val="002F6488"/>
    <w:rsid w:val="00300F8E"/>
    <w:rsid w:val="003020A0"/>
    <w:rsid w:val="00305868"/>
    <w:rsid w:val="00305C54"/>
    <w:rsid w:val="00305D67"/>
    <w:rsid w:val="0031016C"/>
    <w:rsid w:val="00312B7F"/>
    <w:rsid w:val="00312CB2"/>
    <w:rsid w:val="0031426B"/>
    <w:rsid w:val="00315627"/>
    <w:rsid w:val="003213F9"/>
    <w:rsid w:val="00323AB6"/>
    <w:rsid w:val="00323DBF"/>
    <w:rsid w:val="00327867"/>
    <w:rsid w:val="003311F5"/>
    <w:rsid w:val="00332241"/>
    <w:rsid w:val="00332B12"/>
    <w:rsid w:val="00337CBC"/>
    <w:rsid w:val="003428FC"/>
    <w:rsid w:val="00346622"/>
    <w:rsid w:val="003507DB"/>
    <w:rsid w:val="00351B07"/>
    <w:rsid w:val="0036533D"/>
    <w:rsid w:val="00371B29"/>
    <w:rsid w:val="003766F8"/>
    <w:rsid w:val="00380106"/>
    <w:rsid w:val="003814F0"/>
    <w:rsid w:val="00381E07"/>
    <w:rsid w:val="00385788"/>
    <w:rsid w:val="00391769"/>
    <w:rsid w:val="003928B7"/>
    <w:rsid w:val="003953E1"/>
    <w:rsid w:val="003956B3"/>
    <w:rsid w:val="003A0A4D"/>
    <w:rsid w:val="003A3D30"/>
    <w:rsid w:val="003A68BE"/>
    <w:rsid w:val="003A6D76"/>
    <w:rsid w:val="003A6FD3"/>
    <w:rsid w:val="003A7B84"/>
    <w:rsid w:val="003B6060"/>
    <w:rsid w:val="003C3DBC"/>
    <w:rsid w:val="003C4969"/>
    <w:rsid w:val="003C51A0"/>
    <w:rsid w:val="003D2CDC"/>
    <w:rsid w:val="003E41D5"/>
    <w:rsid w:val="003E46BA"/>
    <w:rsid w:val="003E7EE9"/>
    <w:rsid w:val="003F74C1"/>
    <w:rsid w:val="00401ADE"/>
    <w:rsid w:val="00401CE3"/>
    <w:rsid w:val="00402AFD"/>
    <w:rsid w:val="00405B1A"/>
    <w:rsid w:val="00410C76"/>
    <w:rsid w:val="00411907"/>
    <w:rsid w:val="00416704"/>
    <w:rsid w:val="00417EE3"/>
    <w:rsid w:val="004207EB"/>
    <w:rsid w:val="00420956"/>
    <w:rsid w:val="00421730"/>
    <w:rsid w:val="00422EC9"/>
    <w:rsid w:val="00423AC7"/>
    <w:rsid w:val="00432A42"/>
    <w:rsid w:val="00437276"/>
    <w:rsid w:val="00453646"/>
    <w:rsid w:val="00456B54"/>
    <w:rsid w:val="00456BD5"/>
    <w:rsid w:val="004627B6"/>
    <w:rsid w:val="00464643"/>
    <w:rsid w:val="0047175E"/>
    <w:rsid w:val="0047439E"/>
    <w:rsid w:val="00474842"/>
    <w:rsid w:val="00486793"/>
    <w:rsid w:val="00486C66"/>
    <w:rsid w:val="00494A3F"/>
    <w:rsid w:val="004A2037"/>
    <w:rsid w:val="004A793C"/>
    <w:rsid w:val="004B047B"/>
    <w:rsid w:val="004B2AD2"/>
    <w:rsid w:val="004B4CDC"/>
    <w:rsid w:val="004B5FE2"/>
    <w:rsid w:val="004C0D7A"/>
    <w:rsid w:val="004C1167"/>
    <w:rsid w:val="004D121E"/>
    <w:rsid w:val="004D1B1C"/>
    <w:rsid w:val="004D42FA"/>
    <w:rsid w:val="004E7B29"/>
    <w:rsid w:val="004F4F98"/>
    <w:rsid w:val="004F69F6"/>
    <w:rsid w:val="004F79AC"/>
    <w:rsid w:val="00506E9B"/>
    <w:rsid w:val="005146FA"/>
    <w:rsid w:val="005207D8"/>
    <w:rsid w:val="00523930"/>
    <w:rsid w:val="005244F1"/>
    <w:rsid w:val="00537CDC"/>
    <w:rsid w:val="00557185"/>
    <w:rsid w:val="00560185"/>
    <w:rsid w:val="00562917"/>
    <w:rsid w:val="00571B8C"/>
    <w:rsid w:val="00580DDF"/>
    <w:rsid w:val="005811B7"/>
    <w:rsid w:val="00586228"/>
    <w:rsid w:val="005946D3"/>
    <w:rsid w:val="00597631"/>
    <w:rsid w:val="005A40F0"/>
    <w:rsid w:val="005A5582"/>
    <w:rsid w:val="005A572E"/>
    <w:rsid w:val="005B084E"/>
    <w:rsid w:val="005B0E68"/>
    <w:rsid w:val="005B21C5"/>
    <w:rsid w:val="005B6826"/>
    <w:rsid w:val="005B6AF4"/>
    <w:rsid w:val="005C04CB"/>
    <w:rsid w:val="005C62EE"/>
    <w:rsid w:val="005D16AD"/>
    <w:rsid w:val="005D2016"/>
    <w:rsid w:val="005D72E1"/>
    <w:rsid w:val="005E06C0"/>
    <w:rsid w:val="005E33A0"/>
    <w:rsid w:val="005E4D5C"/>
    <w:rsid w:val="005E58D3"/>
    <w:rsid w:val="005E6E16"/>
    <w:rsid w:val="005F196B"/>
    <w:rsid w:val="005F400E"/>
    <w:rsid w:val="005F7342"/>
    <w:rsid w:val="0060298A"/>
    <w:rsid w:val="00610A3C"/>
    <w:rsid w:val="006138D7"/>
    <w:rsid w:val="00615E83"/>
    <w:rsid w:val="00616017"/>
    <w:rsid w:val="006220A4"/>
    <w:rsid w:val="0062592F"/>
    <w:rsid w:val="00627F48"/>
    <w:rsid w:val="00633879"/>
    <w:rsid w:val="0063455F"/>
    <w:rsid w:val="00635814"/>
    <w:rsid w:val="00653D9D"/>
    <w:rsid w:val="00663713"/>
    <w:rsid w:val="00663FCF"/>
    <w:rsid w:val="00664F84"/>
    <w:rsid w:val="006652A2"/>
    <w:rsid w:val="006664CB"/>
    <w:rsid w:val="0067386A"/>
    <w:rsid w:val="006761FC"/>
    <w:rsid w:val="00676CEA"/>
    <w:rsid w:val="006825BC"/>
    <w:rsid w:val="00683071"/>
    <w:rsid w:val="006915CF"/>
    <w:rsid w:val="00692490"/>
    <w:rsid w:val="006969CC"/>
    <w:rsid w:val="00696A15"/>
    <w:rsid w:val="006A05D2"/>
    <w:rsid w:val="006A0DEB"/>
    <w:rsid w:val="006A2029"/>
    <w:rsid w:val="006A48A7"/>
    <w:rsid w:val="006A5D40"/>
    <w:rsid w:val="006C22A7"/>
    <w:rsid w:val="006C231F"/>
    <w:rsid w:val="006C4365"/>
    <w:rsid w:val="006C577E"/>
    <w:rsid w:val="006C5CF5"/>
    <w:rsid w:val="006D33FF"/>
    <w:rsid w:val="006E10A1"/>
    <w:rsid w:val="006E1F73"/>
    <w:rsid w:val="006F4A82"/>
    <w:rsid w:val="00710C37"/>
    <w:rsid w:val="00714DF5"/>
    <w:rsid w:val="00724FA4"/>
    <w:rsid w:val="00725D02"/>
    <w:rsid w:val="00730800"/>
    <w:rsid w:val="00740D4A"/>
    <w:rsid w:val="007476A7"/>
    <w:rsid w:val="00754817"/>
    <w:rsid w:val="00755F02"/>
    <w:rsid w:val="007602AA"/>
    <w:rsid w:val="00761F99"/>
    <w:rsid w:val="007652EF"/>
    <w:rsid w:val="00765DE1"/>
    <w:rsid w:val="00772BDC"/>
    <w:rsid w:val="00777437"/>
    <w:rsid w:val="00780792"/>
    <w:rsid w:val="0078309E"/>
    <w:rsid w:val="00784C58"/>
    <w:rsid w:val="0079346D"/>
    <w:rsid w:val="00795D86"/>
    <w:rsid w:val="007A44B4"/>
    <w:rsid w:val="007A53BF"/>
    <w:rsid w:val="007A7D3D"/>
    <w:rsid w:val="007B225D"/>
    <w:rsid w:val="007B37B3"/>
    <w:rsid w:val="007B5B9B"/>
    <w:rsid w:val="007C18F6"/>
    <w:rsid w:val="007C1C64"/>
    <w:rsid w:val="007C22CB"/>
    <w:rsid w:val="007C6EF9"/>
    <w:rsid w:val="007D0189"/>
    <w:rsid w:val="007E48BC"/>
    <w:rsid w:val="007E79F7"/>
    <w:rsid w:val="007F3630"/>
    <w:rsid w:val="007F7BF7"/>
    <w:rsid w:val="00807559"/>
    <w:rsid w:val="00813464"/>
    <w:rsid w:val="00825839"/>
    <w:rsid w:val="00831154"/>
    <w:rsid w:val="008450BC"/>
    <w:rsid w:val="00847066"/>
    <w:rsid w:val="00850B09"/>
    <w:rsid w:val="00852BC2"/>
    <w:rsid w:val="0085334B"/>
    <w:rsid w:val="008537BA"/>
    <w:rsid w:val="00856712"/>
    <w:rsid w:val="00860808"/>
    <w:rsid w:val="00861C13"/>
    <w:rsid w:val="00862349"/>
    <w:rsid w:val="00862BAE"/>
    <w:rsid w:val="0086571E"/>
    <w:rsid w:val="00870214"/>
    <w:rsid w:val="008705B3"/>
    <w:rsid w:val="00871116"/>
    <w:rsid w:val="008853DB"/>
    <w:rsid w:val="00885C51"/>
    <w:rsid w:val="00895FA0"/>
    <w:rsid w:val="00896B85"/>
    <w:rsid w:val="008A09BB"/>
    <w:rsid w:val="008A243D"/>
    <w:rsid w:val="008C30B9"/>
    <w:rsid w:val="008C3B8B"/>
    <w:rsid w:val="008C4E76"/>
    <w:rsid w:val="008C4EE5"/>
    <w:rsid w:val="008D06C6"/>
    <w:rsid w:val="008D4682"/>
    <w:rsid w:val="008D5E9D"/>
    <w:rsid w:val="008E1A00"/>
    <w:rsid w:val="008E4779"/>
    <w:rsid w:val="008E6250"/>
    <w:rsid w:val="008E7102"/>
    <w:rsid w:val="008F5EAD"/>
    <w:rsid w:val="00903310"/>
    <w:rsid w:val="00917C6F"/>
    <w:rsid w:val="00920249"/>
    <w:rsid w:val="00920848"/>
    <w:rsid w:val="00932F14"/>
    <w:rsid w:val="00934E9B"/>
    <w:rsid w:val="0094247F"/>
    <w:rsid w:val="00942D60"/>
    <w:rsid w:val="0094358A"/>
    <w:rsid w:val="009460FA"/>
    <w:rsid w:val="00946B58"/>
    <w:rsid w:val="00947534"/>
    <w:rsid w:val="009478A1"/>
    <w:rsid w:val="009565CD"/>
    <w:rsid w:val="0096344C"/>
    <w:rsid w:val="0096523B"/>
    <w:rsid w:val="00972D06"/>
    <w:rsid w:val="0099323D"/>
    <w:rsid w:val="0099623A"/>
    <w:rsid w:val="009A13AC"/>
    <w:rsid w:val="009A2699"/>
    <w:rsid w:val="009A2DC9"/>
    <w:rsid w:val="009A391C"/>
    <w:rsid w:val="009C6D73"/>
    <w:rsid w:val="009D74DD"/>
    <w:rsid w:val="009E0A61"/>
    <w:rsid w:val="009E3010"/>
    <w:rsid w:val="009E46F5"/>
    <w:rsid w:val="009F12BA"/>
    <w:rsid w:val="009F1959"/>
    <w:rsid w:val="009F7065"/>
    <w:rsid w:val="00A017EB"/>
    <w:rsid w:val="00A075CE"/>
    <w:rsid w:val="00A141C2"/>
    <w:rsid w:val="00A2449C"/>
    <w:rsid w:val="00A30855"/>
    <w:rsid w:val="00A318EB"/>
    <w:rsid w:val="00A34B25"/>
    <w:rsid w:val="00A40C00"/>
    <w:rsid w:val="00A551B9"/>
    <w:rsid w:val="00A56DC7"/>
    <w:rsid w:val="00A635A9"/>
    <w:rsid w:val="00A6416D"/>
    <w:rsid w:val="00A66FDD"/>
    <w:rsid w:val="00A671E6"/>
    <w:rsid w:val="00A709E5"/>
    <w:rsid w:val="00A74FD1"/>
    <w:rsid w:val="00A77678"/>
    <w:rsid w:val="00A84A58"/>
    <w:rsid w:val="00A855FD"/>
    <w:rsid w:val="00A929A9"/>
    <w:rsid w:val="00A93032"/>
    <w:rsid w:val="00A94B4B"/>
    <w:rsid w:val="00A95CB1"/>
    <w:rsid w:val="00A96594"/>
    <w:rsid w:val="00AA19D5"/>
    <w:rsid w:val="00AA41BA"/>
    <w:rsid w:val="00AA5E3F"/>
    <w:rsid w:val="00AA6D0D"/>
    <w:rsid w:val="00AA6FA3"/>
    <w:rsid w:val="00AB15E8"/>
    <w:rsid w:val="00AB2BBA"/>
    <w:rsid w:val="00AC010F"/>
    <w:rsid w:val="00AC428E"/>
    <w:rsid w:val="00AC76DA"/>
    <w:rsid w:val="00AD344F"/>
    <w:rsid w:val="00AD6005"/>
    <w:rsid w:val="00AD7C90"/>
    <w:rsid w:val="00AE4FFD"/>
    <w:rsid w:val="00AF24FA"/>
    <w:rsid w:val="00AF387F"/>
    <w:rsid w:val="00AF397D"/>
    <w:rsid w:val="00AF706A"/>
    <w:rsid w:val="00B00E7F"/>
    <w:rsid w:val="00B07FC9"/>
    <w:rsid w:val="00B17112"/>
    <w:rsid w:val="00B17567"/>
    <w:rsid w:val="00B1767F"/>
    <w:rsid w:val="00B21055"/>
    <w:rsid w:val="00B2180C"/>
    <w:rsid w:val="00B21DCC"/>
    <w:rsid w:val="00B23524"/>
    <w:rsid w:val="00B25F37"/>
    <w:rsid w:val="00B32D91"/>
    <w:rsid w:val="00B37158"/>
    <w:rsid w:val="00B425AA"/>
    <w:rsid w:val="00B44422"/>
    <w:rsid w:val="00B46EA0"/>
    <w:rsid w:val="00B53EA7"/>
    <w:rsid w:val="00B55714"/>
    <w:rsid w:val="00B6343A"/>
    <w:rsid w:val="00B63BBA"/>
    <w:rsid w:val="00B731D3"/>
    <w:rsid w:val="00B75B57"/>
    <w:rsid w:val="00B77C18"/>
    <w:rsid w:val="00B811B3"/>
    <w:rsid w:val="00B82D0E"/>
    <w:rsid w:val="00B839A3"/>
    <w:rsid w:val="00B84736"/>
    <w:rsid w:val="00B902BD"/>
    <w:rsid w:val="00B92501"/>
    <w:rsid w:val="00B95C6F"/>
    <w:rsid w:val="00BA1009"/>
    <w:rsid w:val="00BA72EB"/>
    <w:rsid w:val="00BB0EC9"/>
    <w:rsid w:val="00BB3262"/>
    <w:rsid w:val="00BB59A9"/>
    <w:rsid w:val="00BC51CB"/>
    <w:rsid w:val="00BD2A39"/>
    <w:rsid w:val="00BD2E80"/>
    <w:rsid w:val="00BD49FF"/>
    <w:rsid w:val="00BD4B64"/>
    <w:rsid w:val="00BD77E1"/>
    <w:rsid w:val="00BE11B8"/>
    <w:rsid w:val="00BE2B4B"/>
    <w:rsid w:val="00BF45A3"/>
    <w:rsid w:val="00BF7FF0"/>
    <w:rsid w:val="00C0413B"/>
    <w:rsid w:val="00C11AEA"/>
    <w:rsid w:val="00C12502"/>
    <w:rsid w:val="00C26B3B"/>
    <w:rsid w:val="00C40AA5"/>
    <w:rsid w:val="00C46F70"/>
    <w:rsid w:val="00C476D0"/>
    <w:rsid w:val="00C54DB8"/>
    <w:rsid w:val="00C6434A"/>
    <w:rsid w:val="00C64555"/>
    <w:rsid w:val="00C72688"/>
    <w:rsid w:val="00C74398"/>
    <w:rsid w:val="00C830B9"/>
    <w:rsid w:val="00C836E3"/>
    <w:rsid w:val="00C836FF"/>
    <w:rsid w:val="00C8535C"/>
    <w:rsid w:val="00C854DC"/>
    <w:rsid w:val="00C86577"/>
    <w:rsid w:val="00C91C02"/>
    <w:rsid w:val="00C92E07"/>
    <w:rsid w:val="00C96464"/>
    <w:rsid w:val="00C96868"/>
    <w:rsid w:val="00CA0416"/>
    <w:rsid w:val="00CA207A"/>
    <w:rsid w:val="00CA254C"/>
    <w:rsid w:val="00CA287A"/>
    <w:rsid w:val="00CA5734"/>
    <w:rsid w:val="00CA7DD0"/>
    <w:rsid w:val="00CB115C"/>
    <w:rsid w:val="00CC3764"/>
    <w:rsid w:val="00CC3A35"/>
    <w:rsid w:val="00CC5468"/>
    <w:rsid w:val="00CC560B"/>
    <w:rsid w:val="00CC5EE8"/>
    <w:rsid w:val="00CC75E2"/>
    <w:rsid w:val="00CD46EB"/>
    <w:rsid w:val="00CD7EBF"/>
    <w:rsid w:val="00CE1368"/>
    <w:rsid w:val="00CE51C2"/>
    <w:rsid w:val="00CE59AA"/>
    <w:rsid w:val="00CE6EF5"/>
    <w:rsid w:val="00CF0933"/>
    <w:rsid w:val="00CF0E86"/>
    <w:rsid w:val="00CF2EDD"/>
    <w:rsid w:val="00D00DFA"/>
    <w:rsid w:val="00D056F1"/>
    <w:rsid w:val="00D06616"/>
    <w:rsid w:val="00D144D7"/>
    <w:rsid w:val="00D15A08"/>
    <w:rsid w:val="00D23DB6"/>
    <w:rsid w:val="00D35AEB"/>
    <w:rsid w:val="00D35F3B"/>
    <w:rsid w:val="00D405C6"/>
    <w:rsid w:val="00D5047D"/>
    <w:rsid w:val="00D51A95"/>
    <w:rsid w:val="00D57173"/>
    <w:rsid w:val="00D60568"/>
    <w:rsid w:val="00D6096F"/>
    <w:rsid w:val="00D70C7A"/>
    <w:rsid w:val="00D71A26"/>
    <w:rsid w:val="00D72A29"/>
    <w:rsid w:val="00D834E5"/>
    <w:rsid w:val="00D92DA6"/>
    <w:rsid w:val="00D96C9C"/>
    <w:rsid w:val="00DA10A8"/>
    <w:rsid w:val="00DB123A"/>
    <w:rsid w:val="00DB1E08"/>
    <w:rsid w:val="00DB2973"/>
    <w:rsid w:val="00DB390A"/>
    <w:rsid w:val="00DB4DB9"/>
    <w:rsid w:val="00DC036B"/>
    <w:rsid w:val="00DC0FBA"/>
    <w:rsid w:val="00DC1B56"/>
    <w:rsid w:val="00DC20CC"/>
    <w:rsid w:val="00DC2129"/>
    <w:rsid w:val="00DC6570"/>
    <w:rsid w:val="00DD265C"/>
    <w:rsid w:val="00DD2711"/>
    <w:rsid w:val="00DD3703"/>
    <w:rsid w:val="00DE5528"/>
    <w:rsid w:val="00DF25C3"/>
    <w:rsid w:val="00DF5CFF"/>
    <w:rsid w:val="00DF72BB"/>
    <w:rsid w:val="00DF7B5D"/>
    <w:rsid w:val="00E0193B"/>
    <w:rsid w:val="00E04062"/>
    <w:rsid w:val="00E063C6"/>
    <w:rsid w:val="00E14C91"/>
    <w:rsid w:val="00E2003B"/>
    <w:rsid w:val="00E26707"/>
    <w:rsid w:val="00E26887"/>
    <w:rsid w:val="00E279D8"/>
    <w:rsid w:val="00E30092"/>
    <w:rsid w:val="00E319B1"/>
    <w:rsid w:val="00E327A6"/>
    <w:rsid w:val="00E3684F"/>
    <w:rsid w:val="00E4092B"/>
    <w:rsid w:val="00E42591"/>
    <w:rsid w:val="00E47D3B"/>
    <w:rsid w:val="00E5492F"/>
    <w:rsid w:val="00E572B1"/>
    <w:rsid w:val="00E6369A"/>
    <w:rsid w:val="00E70A86"/>
    <w:rsid w:val="00E721AB"/>
    <w:rsid w:val="00E73E50"/>
    <w:rsid w:val="00E777EC"/>
    <w:rsid w:val="00E80FCD"/>
    <w:rsid w:val="00E92E6F"/>
    <w:rsid w:val="00E97CC5"/>
    <w:rsid w:val="00EA2226"/>
    <w:rsid w:val="00EA65A3"/>
    <w:rsid w:val="00EA7DB0"/>
    <w:rsid w:val="00EA7F2F"/>
    <w:rsid w:val="00EB346B"/>
    <w:rsid w:val="00EB576F"/>
    <w:rsid w:val="00EB6590"/>
    <w:rsid w:val="00EC00DE"/>
    <w:rsid w:val="00EC21DF"/>
    <w:rsid w:val="00EC257D"/>
    <w:rsid w:val="00EC2DEC"/>
    <w:rsid w:val="00EC30E1"/>
    <w:rsid w:val="00EC3436"/>
    <w:rsid w:val="00EC66BB"/>
    <w:rsid w:val="00EC7F3A"/>
    <w:rsid w:val="00ED172A"/>
    <w:rsid w:val="00ED2460"/>
    <w:rsid w:val="00EE01DC"/>
    <w:rsid w:val="00EF0D09"/>
    <w:rsid w:val="00EF5BBA"/>
    <w:rsid w:val="00F0045C"/>
    <w:rsid w:val="00F115E6"/>
    <w:rsid w:val="00F149DB"/>
    <w:rsid w:val="00F14AB3"/>
    <w:rsid w:val="00F14BEC"/>
    <w:rsid w:val="00F224B7"/>
    <w:rsid w:val="00F225C5"/>
    <w:rsid w:val="00F24177"/>
    <w:rsid w:val="00F2587A"/>
    <w:rsid w:val="00F33470"/>
    <w:rsid w:val="00F34E02"/>
    <w:rsid w:val="00F35742"/>
    <w:rsid w:val="00F3715D"/>
    <w:rsid w:val="00F37A10"/>
    <w:rsid w:val="00F420C8"/>
    <w:rsid w:val="00F42A4C"/>
    <w:rsid w:val="00F526BD"/>
    <w:rsid w:val="00F634A1"/>
    <w:rsid w:val="00F76C92"/>
    <w:rsid w:val="00F915F8"/>
    <w:rsid w:val="00FB1605"/>
    <w:rsid w:val="00FB7512"/>
    <w:rsid w:val="00FD7547"/>
    <w:rsid w:val="00FE08AD"/>
    <w:rsid w:val="00FE287B"/>
    <w:rsid w:val="00FE6628"/>
    <w:rsid w:val="00FE6B50"/>
    <w:rsid w:val="00FF086E"/>
    <w:rsid w:val="00FF1B03"/>
    <w:rsid w:val="00FF4AE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F98A1"/>
  <w15:docId w15:val="{3B40ADD6-AE6E-46AF-88D7-A97C6188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663713"/>
    <w:pPr>
      <w:widowControl/>
      <w:numPr>
        <w:numId w:val="45"/>
      </w:numPr>
      <w:ind w:left="567" w:hanging="567"/>
    </w:pPr>
    <w:rPr>
      <w:rFonts w:cs="Arial"/>
      <w:lang w:bidi="ar-SA"/>
    </w:rPr>
  </w:style>
  <w:style w:type="character" w:customStyle="1" w:styleId="FSBullet1Char">
    <w:name w:val="FSBullet 1 Char"/>
    <w:link w:val="FSBullet1"/>
    <w:rsid w:val="00663713"/>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Paragraph">
    <w:name w:val="Paragraph"/>
    <w:basedOn w:val="Normal"/>
    <w:next w:val="Normal"/>
    <w:qFormat/>
    <w:rsid w:val="002D2FC9"/>
    <w:pPr>
      <w:ind w:left="1702" w:hanging="851"/>
    </w:pPr>
    <w:rPr>
      <w:sz w:val="20"/>
      <w:szCs w:val="20"/>
    </w:rPr>
  </w:style>
  <w:style w:type="paragraph" w:customStyle="1" w:styleId="Subclause">
    <w:name w:val="Subclause"/>
    <w:basedOn w:val="Normal"/>
    <w:rsid w:val="002D2FC9"/>
    <w:pPr>
      <w:tabs>
        <w:tab w:val="left" w:pos="851"/>
      </w:tabs>
      <w:ind w:hanging="11"/>
    </w:pPr>
    <w:rPr>
      <w:sz w:val="20"/>
      <w:szCs w:val="20"/>
    </w:rPr>
  </w:style>
  <w:style w:type="paragraph" w:customStyle="1" w:styleId="Subparagraph">
    <w:name w:val="Subparagraph"/>
    <w:basedOn w:val="Paragraph"/>
    <w:next w:val="Normal"/>
    <w:qFormat/>
    <w:rsid w:val="002D2FC9"/>
    <w:pPr>
      <w:ind w:left="2553"/>
    </w:pPr>
  </w:style>
  <w:style w:type="paragraph" w:customStyle="1" w:styleId="FSCtAmendingwords">
    <w:name w:val="FSC_t_Amending_words"/>
    <w:basedOn w:val="Normal"/>
    <w:qFormat/>
    <w:rsid w:val="002D2FC9"/>
    <w:pPr>
      <w:keepLines/>
      <w:widowControl/>
      <w:spacing w:before="120"/>
      <w:ind w:left="1134"/>
    </w:pPr>
    <w:rPr>
      <w:rFonts w:cs="Arial"/>
      <w:iCs/>
      <w:sz w:val="20"/>
      <w:szCs w:val="22"/>
      <w:lang w:val="en-AU" w:eastAsia="en-AU" w:bidi="ar-SA"/>
    </w:rPr>
  </w:style>
  <w:style w:type="paragraph" w:styleId="ListParagraph">
    <w:name w:val="List Paragraph"/>
    <w:basedOn w:val="Normal"/>
    <w:uiPriority w:val="34"/>
    <w:rsid w:val="00895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90856031">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64153200">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4829849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402BA-D312-4B9E-A9DC-814C143FA7BD}"/>
</file>

<file path=customXml/itemProps2.xml><?xml version="1.0" encoding="utf-8"?>
<ds:datastoreItem xmlns:ds="http://schemas.openxmlformats.org/officeDocument/2006/customXml" ds:itemID="{C2711BEC-4B91-4692-8251-954A8538C0DC}"/>
</file>

<file path=customXml/itemProps3.xml><?xml version="1.0" encoding="utf-8"?>
<ds:datastoreItem xmlns:ds="http://schemas.openxmlformats.org/officeDocument/2006/customXml" ds:itemID="{DA9859E9-EDB3-4A94-9157-081F7825F803}"/>
</file>

<file path=customXml/itemProps4.xml><?xml version="1.0" encoding="utf-8"?>
<ds:datastoreItem xmlns:ds="http://schemas.openxmlformats.org/officeDocument/2006/customXml" ds:itemID="{BE15BD26-7057-4539-8C17-11CDE8492BFD}">
  <ds:schemaRefs>
    <ds:schemaRef ds:uri="http://schemas.microsoft.com/sharepoint/events"/>
  </ds:schemaRefs>
</ds:datastoreItem>
</file>

<file path=customXml/itemProps5.xml><?xml version="1.0" encoding="utf-8"?>
<ds:datastoreItem xmlns:ds="http://schemas.openxmlformats.org/officeDocument/2006/customXml" ds:itemID="{A956699F-2BF7-46B0-96CD-5E30012BE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773181-CBEC-42F6-825D-795309A94F6E}"/>
</file>

<file path=docProps/app.xml><?xml version="1.0" encoding="utf-8"?>
<Properties xmlns="http://schemas.openxmlformats.org/officeDocument/2006/extended-properties" xmlns:vt="http://schemas.openxmlformats.org/officeDocument/2006/docPropsVTypes">
  <Template>Normal.dotm</Template>
  <TotalTime>4</TotalTime>
  <Pages>18</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22682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maypet</dc:creator>
  <cp:keywords/>
  <cp:lastModifiedBy>Humphries, Cathie</cp:lastModifiedBy>
  <cp:revision>5</cp:revision>
  <cp:lastPrinted>2017-06-22T08:14:00Z</cp:lastPrinted>
  <dcterms:created xsi:type="dcterms:W3CDTF">2017-06-01T22:34:00Z</dcterms:created>
  <dcterms:modified xsi:type="dcterms:W3CDTF">2017-06-22T08:14:00Z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17188f5f-53d4-4556-9a98-f3e660a66731</vt:lpwstr>
  </property>
  <property fmtid="{D5CDD505-2E9C-101B-9397-08002B2CF9AE}" pid="4" name="BCS_">
    <vt:lpwstr>40;#FOOD STANDARDS:Evaluation|43bd8487-b9f6-4055-946c-a118d364275d</vt:lpwstr>
  </property>
  <property fmtid="{D5CDD505-2E9C-101B-9397-08002B2CF9AE}" pid="5" name="DisposalClass">
    <vt:lpwstr/>
  </property>
  <property fmtid="{D5CDD505-2E9C-101B-9397-08002B2CF9AE}" pid="6" name="SPPCopyMoveEvent">
    <vt:lpwstr>0</vt:lpwstr>
  </property>
  <property fmtid="{D5CDD505-2E9C-101B-9397-08002B2CF9AE}" pid="7" name="TitusGUID">
    <vt:lpwstr>bce98f92-57e1-419f-a6c1-efd3e897f20f</vt:lpwstr>
  </property>
</Properties>
</file>